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rPr>
          <w:rFonts w:hint="default" w:ascii="Times New Roman" w:hAnsi="Times New Roman" w:eastAsia="仿宋_GB2312" w:cs="Times New Roman"/>
          <w:color w:val="auto"/>
          <w:sz w:val="36"/>
          <w:szCs w:val="36"/>
        </w:rPr>
      </w:pPr>
    </w:p>
    <w:p>
      <w:pPr>
        <w:adjustRightInd w:val="0"/>
        <w:snapToGrid w:val="0"/>
        <w:jc w:val="center"/>
        <w:outlineLvl w:val="0"/>
        <w:rPr>
          <w:rFonts w:hint="default" w:ascii="Times New Roman" w:hAnsi="Times New Roman" w:eastAsia="方正小标宋_GBK" w:cs="Times New Roman"/>
          <w:bCs/>
          <w:color w:val="auto"/>
          <w:sz w:val="72"/>
          <w:szCs w:val="72"/>
        </w:rPr>
      </w:pPr>
      <w:bookmarkStart w:id="0" w:name="_Toc20068"/>
      <w:bookmarkStart w:id="1" w:name="_Toc21136"/>
      <w:bookmarkStart w:id="2" w:name="_Toc142"/>
      <w:bookmarkStart w:id="3" w:name="_Toc2904"/>
      <w:bookmarkStart w:id="4" w:name="_Toc8870"/>
      <w:bookmarkStart w:id="5" w:name="_Toc27019"/>
      <w:bookmarkStart w:id="6" w:name="_Toc22035"/>
      <w:bookmarkStart w:id="7" w:name="_Toc9272"/>
      <w:bookmarkStart w:id="8" w:name="_Toc31887"/>
      <w:bookmarkStart w:id="9" w:name="_Toc21359"/>
      <w:bookmarkStart w:id="10" w:name="_Toc30575"/>
      <w:bookmarkStart w:id="11" w:name="_Toc1931"/>
      <w:r>
        <w:rPr>
          <w:rFonts w:hint="default" w:ascii="Times New Roman" w:hAnsi="Times New Roman" w:eastAsia="方正小标宋_GBK" w:cs="Times New Roman"/>
          <w:bCs/>
          <w:color w:val="auto"/>
          <w:sz w:val="72"/>
          <w:szCs w:val="72"/>
        </w:rPr>
        <w:t>建设项目环境影响报告表</w:t>
      </w:r>
      <w:bookmarkEnd w:id="0"/>
      <w:bookmarkEnd w:id="1"/>
      <w:bookmarkEnd w:id="2"/>
      <w:bookmarkEnd w:id="3"/>
      <w:bookmarkEnd w:id="4"/>
      <w:bookmarkEnd w:id="5"/>
      <w:bookmarkEnd w:id="6"/>
      <w:bookmarkEnd w:id="7"/>
      <w:bookmarkEnd w:id="8"/>
      <w:bookmarkEnd w:id="9"/>
      <w:bookmarkEnd w:id="10"/>
      <w:bookmarkEnd w:id="11"/>
    </w:p>
    <w:p>
      <w:pPr>
        <w:adjustRightInd w:val="0"/>
        <w:snapToGrid w:val="0"/>
        <w:spacing w:before="192" w:beforeLines="80"/>
        <w:jc w:val="center"/>
        <w:rPr>
          <w:rFonts w:hint="default" w:ascii="Times New Roman" w:hAnsi="Times New Roman" w:eastAsia="楷体_GB2312" w:cs="Times New Roman"/>
          <w:bCs/>
          <w:color w:val="auto"/>
          <w:sz w:val="48"/>
          <w:szCs w:val="48"/>
        </w:rPr>
      </w:pPr>
      <w:r>
        <w:rPr>
          <w:rFonts w:hint="default" w:ascii="Times New Roman" w:hAnsi="Times New Roman" w:eastAsia="楷体_GB2312" w:cs="Times New Roman"/>
          <w:bCs/>
          <w:color w:val="auto"/>
          <w:sz w:val="48"/>
          <w:szCs w:val="48"/>
        </w:rPr>
        <w:t>（污染影响类）</w:t>
      </w:r>
    </w:p>
    <w:p>
      <w:pPr>
        <w:bidi w:val="0"/>
        <w:rPr>
          <w:rFonts w:hint="default" w:ascii="Times New Roman" w:hAnsi="Times New Roman" w:cs="Times New Roman"/>
          <w:color w:val="auto"/>
        </w:rPr>
      </w:pPr>
    </w:p>
    <w:p>
      <w:pPr>
        <w:jc w:val="center"/>
        <w:rPr>
          <w:rFonts w:hint="default" w:ascii="Times New Roman" w:hAnsi="Times New Roman" w:eastAsia="仿宋" w:cs="Times New Roman"/>
          <w:color w:val="auto"/>
          <w:sz w:val="52"/>
          <w:szCs w:val="52"/>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ind w:firstLine="1040"/>
        <w:rPr>
          <w:rFonts w:hint="default" w:ascii="Times New Roman" w:hAnsi="Times New Roman" w:eastAsia="仿宋" w:cs="Times New Roman"/>
          <w:color w:val="auto"/>
          <w:sz w:val="44"/>
          <w:szCs w:val="44"/>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default" w:ascii="Times New Roman" w:hAnsi="Times New Roman" w:eastAsia="宋体" w:cs="Times New Roman"/>
          <w:color w:val="auto"/>
          <w:w w:val="90"/>
          <w:sz w:val="32"/>
          <w:szCs w:val="32"/>
          <w:u w:val="single"/>
          <w:lang w:val="en-US" w:eastAsia="zh-CN"/>
        </w:rPr>
      </w:pPr>
      <w:r>
        <w:rPr>
          <w:rFonts w:hint="default" w:ascii="Times New Roman" w:hAnsi="Times New Roman" w:eastAsia="宋体" w:cs="Times New Roman"/>
          <w:color w:val="auto"/>
          <w:sz w:val="32"/>
          <w:szCs w:val="32"/>
        </w:rPr>
        <w:t>项目名称：</w:t>
      </w:r>
      <w:r>
        <w:rPr>
          <w:rFonts w:hint="eastAsia" w:cs="Times New Roman"/>
          <w:color w:val="auto"/>
          <w:sz w:val="32"/>
          <w:szCs w:val="32"/>
          <w:u w:val="single"/>
          <w:lang w:eastAsia="zh-CN"/>
        </w:rPr>
        <w:t>嘉荫县乌云镇兴民种植农民专业合作社扩建项目</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default" w:ascii="Times New Roman" w:hAnsi="Times New Roman" w:eastAsia="宋体" w:cs="Times New Roman"/>
          <w:color w:val="auto"/>
          <w:sz w:val="32"/>
          <w:szCs w:val="32"/>
          <w:u w:val="single"/>
          <w:lang w:eastAsia="zh-CN"/>
        </w:rPr>
      </w:pPr>
      <w:r>
        <w:rPr>
          <w:rFonts w:hint="default" w:ascii="Times New Roman" w:hAnsi="Times New Roman" w:eastAsia="宋体" w:cs="Times New Roman"/>
          <w:color w:val="auto"/>
          <w:sz w:val="32"/>
          <w:szCs w:val="32"/>
        </w:rPr>
        <w:t>建设单位：</w:t>
      </w:r>
      <w:r>
        <w:rPr>
          <w:rFonts w:hint="eastAsia" w:cs="Times New Roman"/>
          <w:color w:val="auto"/>
          <w:sz w:val="32"/>
          <w:szCs w:val="32"/>
          <w:u w:val="single"/>
          <w:lang w:eastAsia="zh-CN"/>
        </w:rPr>
        <w:t>嘉荫县乌云镇兴民种植农民专业合作社</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default" w:ascii="Times New Roman" w:hAnsi="Times New Roman" w:eastAsia="宋体" w:cs="Times New Roman"/>
          <w:color w:val="auto"/>
          <w:sz w:val="32"/>
          <w:szCs w:val="32"/>
          <w:u w:val="single"/>
        </w:rPr>
      </w:pPr>
      <w:r>
        <w:rPr>
          <w:rFonts w:hint="default" w:ascii="Times New Roman" w:hAnsi="Times New Roman" w:eastAsia="宋体" w:cs="Times New Roman"/>
          <w:color w:val="auto"/>
          <w:sz w:val="32"/>
          <w:szCs w:val="32"/>
        </w:rPr>
        <w:t>编制日期：</w:t>
      </w:r>
      <w:r>
        <w:rPr>
          <w:rFonts w:hint="default" w:ascii="Times New Roman" w:hAnsi="Times New Roman" w:eastAsia="宋体" w:cs="Times New Roman"/>
          <w:color w:val="auto"/>
          <w:sz w:val="32"/>
          <w:szCs w:val="32"/>
          <w:u w:val="single"/>
        </w:rPr>
        <w:t>202</w:t>
      </w:r>
      <w:r>
        <w:rPr>
          <w:rFonts w:hint="eastAsia" w:cs="Times New Roman"/>
          <w:color w:val="auto"/>
          <w:sz w:val="32"/>
          <w:szCs w:val="32"/>
          <w:u w:val="single"/>
          <w:lang w:val="en-US" w:eastAsia="zh-CN"/>
        </w:rPr>
        <w:t>6</w:t>
      </w:r>
      <w:r>
        <w:rPr>
          <w:rFonts w:hint="default" w:ascii="Times New Roman" w:hAnsi="Times New Roman" w:eastAsia="宋体" w:cs="Times New Roman"/>
          <w:color w:val="auto"/>
          <w:sz w:val="32"/>
          <w:szCs w:val="32"/>
          <w:u w:val="single"/>
        </w:rPr>
        <w:t>年</w:t>
      </w:r>
      <w:r>
        <w:rPr>
          <w:rFonts w:hint="eastAsia" w:cs="Times New Roman"/>
          <w:color w:val="auto"/>
          <w:sz w:val="32"/>
          <w:szCs w:val="32"/>
          <w:u w:val="single"/>
          <w:lang w:val="en-US" w:eastAsia="zh-CN"/>
        </w:rPr>
        <w:t>7</w:t>
      </w:r>
      <w:r>
        <w:rPr>
          <w:rFonts w:hint="default" w:ascii="Times New Roman" w:hAnsi="Times New Roman" w:eastAsia="宋体" w:cs="Times New Roman"/>
          <w:color w:val="auto"/>
          <w:sz w:val="32"/>
          <w:szCs w:val="32"/>
          <w:u w:val="single"/>
        </w:rPr>
        <w:t>月</w:t>
      </w:r>
    </w:p>
    <w:p>
      <w:pPr>
        <w:adjustRightInd w:val="0"/>
        <w:snapToGrid w:val="0"/>
        <w:spacing w:line="288" w:lineRule="auto"/>
        <w:ind w:firstLine="1040"/>
        <w:rPr>
          <w:rFonts w:hint="default" w:ascii="Times New Roman" w:hAnsi="Times New Roman" w:eastAsia="仿宋_GB2312" w:cs="Times New Roman"/>
          <w:color w:val="auto"/>
          <w:sz w:val="36"/>
          <w:szCs w:val="36"/>
          <w:u w:val="single"/>
        </w:rPr>
      </w:pPr>
      <w:bookmarkStart w:id="12" w:name="_Hlk57884087"/>
    </w:p>
    <w:p>
      <w:pPr>
        <w:adjustRightInd w:val="0"/>
        <w:snapToGrid w:val="0"/>
        <w:spacing w:line="288" w:lineRule="auto"/>
        <w:ind w:firstLine="1040"/>
        <w:rPr>
          <w:rFonts w:hint="default" w:ascii="Times New Roman" w:hAnsi="Times New Roman" w:eastAsia="仿宋_GB2312" w:cs="Times New Roman"/>
          <w:color w:val="auto"/>
          <w:sz w:val="36"/>
          <w:szCs w:val="36"/>
        </w:rPr>
      </w:pPr>
    </w:p>
    <w:p>
      <w:pPr>
        <w:adjustRightInd w:val="0"/>
        <w:snapToGrid w:val="0"/>
        <w:spacing w:line="288" w:lineRule="auto"/>
        <w:ind w:firstLine="1040"/>
        <w:rPr>
          <w:rFonts w:hint="default" w:ascii="Times New Roman" w:hAnsi="Times New Roman" w:eastAsia="仿宋_GB2312" w:cs="Times New Roman"/>
          <w:color w:val="auto"/>
          <w:sz w:val="36"/>
          <w:szCs w:val="36"/>
        </w:rPr>
      </w:pPr>
    </w:p>
    <w:p>
      <w:pPr>
        <w:pStyle w:val="36"/>
        <w:rPr>
          <w:rFonts w:hint="default" w:ascii="Times New Roman" w:hAnsi="Times New Roman" w:eastAsia="仿宋_GB2312" w:cs="Times New Roman"/>
          <w:color w:val="auto"/>
          <w:sz w:val="36"/>
          <w:szCs w:val="36"/>
        </w:rPr>
      </w:pPr>
    </w:p>
    <w:p>
      <w:pPr>
        <w:rPr>
          <w:rFonts w:hint="default" w:ascii="Times New Roman" w:hAnsi="Times New Roman" w:cs="Times New Roman"/>
          <w:color w:val="auto"/>
        </w:rPr>
      </w:pPr>
    </w:p>
    <w:p>
      <w:pPr>
        <w:pStyle w:val="11"/>
        <w:rPr>
          <w:rFonts w:hint="default" w:ascii="Times New Roman" w:hAnsi="Times New Roman" w:cs="Times New Roman"/>
          <w:color w:val="auto"/>
        </w:rPr>
      </w:pPr>
    </w:p>
    <w:bookmarkEnd w:id="12"/>
    <w:p>
      <w:pPr>
        <w:adjustRightInd w:val="0"/>
        <w:snapToGrid w:val="0"/>
        <w:spacing w:line="288" w:lineRule="auto"/>
        <w:jc w:val="center"/>
        <w:rPr>
          <w:rFonts w:hint="default" w:ascii="Times New Roman" w:hAnsi="Times New Roman" w:eastAsia="楷体_GB2312" w:cs="Times New Roman"/>
          <w:color w:val="auto"/>
          <w:sz w:val="36"/>
          <w:szCs w:val="36"/>
          <w:lang w:val="en-US" w:eastAsia="zh-CN"/>
        </w:rPr>
      </w:pPr>
      <w:r>
        <w:rPr>
          <w:rFonts w:hint="default" w:ascii="Times New Roman" w:hAnsi="Times New Roman" w:cs="Times New Roman"/>
          <w:color w:val="auto"/>
          <w:sz w:val="32"/>
          <w:szCs w:val="32"/>
        </w:rPr>
        <w:t>中华人民共和国生态环境部制</w:t>
      </w:r>
    </w:p>
    <w:p>
      <w:pPr>
        <w:jc w:val="center"/>
        <w:rPr>
          <w:rFonts w:hint="eastAsia" w:ascii="Times New Roman" w:hAnsi="Times New Roman" w:eastAsia="宋体" w:cs="Times New Roman"/>
          <w:color w:val="auto"/>
          <w:lang w:eastAsia="zh-CN"/>
        </w:rPr>
        <w:sectPr>
          <w:footerReference r:id="rId3" w:type="default"/>
          <w:footerReference r:id="rId4" w:type="even"/>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pStyle w:val="38"/>
        <w:rPr>
          <w:rFonts w:hint="eastAsia" w:eastAsia="宋体"/>
          <w:color w:val="auto"/>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p>
    <w:p>
      <w:pPr>
        <w:spacing w:before="0" w:beforeLines="0" w:after="0" w:afterLines="0" w:line="240" w:lineRule="auto"/>
        <w:ind w:left="0" w:leftChars="0" w:right="0" w:rightChars="0" w:firstLine="0" w:firstLineChars="0"/>
        <w:jc w:val="center"/>
        <w:rPr>
          <w:rFonts w:hint="default" w:ascii="Times New Roman" w:hAnsi="Times New Roman" w:cs="Times New Roman"/>
          <w:b/>
          <w:bCs/>
          <w:color w:val="auto"/>
          <w:sz w:val="44"/>
          <w:szCs w:val="44"/>
        </w:rPr>
      </w:pPr>
      <w:r>
        <w:rPr>
          <w:rFonts w:hint="default" w:ascii="Times New Roman" w:hAnsi="Times New Roman" w:eastAsia="宋体" w:cs="Times New Roman"/>
          <w:b/>
          <w:bCs/>
          <w:color w:val="auto"/>
          <w:sz w:val="44"/>
          <w:szCs w:val="44"/>
        </w:rPr>
        <w:t>目</w:t>
      </w:r>
      <w:r>
        <w:rPr>
          <w:rFonts w:hint="default" w:ascii="Times New Roman" w:hAnsi="Times New Roman" w:eastAsia="宋体" w:cs="Times New Roman"/>
          <w:b/>
          <w:bCs/>
          <w:color w:val="auto"/>
          <w:sz w:val="44"/>
          <w:szCs w:val="44"/>
          <w:lang w:val="en-US" w:eastAsia="zh-CN"/>
        </w:rPr>
        <w:t xml:space="preserve"> </w:t>
      </w:r>
      <w:r>
        <w:rPr>
          <w:rFonts w:hint="default" w:ascii="Times New Roman" w:hAnsi="Times New Roman" w:eastAsia="宋体" w:cs="Times New Roman"/>
          <w:b/>
          <w:bCs/>
          <w:color w:val="auto"/>
          <w:sz w:val="44"/>
          <w:szCs w:val="44"/>
        </w:rPr>
        <w:t>录</w:t>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color w:val="auto"/>
          <w:sz w:val="24"/>
          <w:szCs w:val="24"/>
          <w:lang w:eastAsia="zh-CN"/>
        </w:rPr>
        <w:instrText xml:space="preserve">TOC \o "1-1" \h \u </w:instrText>
      </w:r>
      <w:r>
        <w:rPr>
          <w:rFonts w:hint="default" w:ascii="Times New Roman" w:hAnsi="Times New Roman" w:eastAsia="宋体" w:cs="Times New Roman"/>
          <w:color w:val="auto"/>
          <w:sz w:val="24"/>
          <w:szCs w:val="24"/>
          <w:lang w:eastAsia="zh-CN"/>
        </w:rPr>
        <w:fldChar w:fldCharType="separate"/>
      </w: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_Toc4776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一、建设项目基本情况</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_Toc4776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_Toc6120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二、建设项目工程分析</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_Toc6120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12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_Toc3027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三、区域环境质量现状、环境保护目标及评价标准</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20</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_Toc27865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四、主要环境影响和保护措施</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_Toc27865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27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_Toc27063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五、环境保护措施监督检查清单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_Toc27063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_Toc7766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六、结论</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_Toc7766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_Toc14527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附表</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_Toc14527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44</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_Toc30647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lang w:eastAsia="zh-CN"/>
        </w:rPr>
        <w:t>图</w:t>
      </w:r>
      <w:r>
        <w:rPr>
          <w:rFonts w:hint="default" w:ascii="Times New Roman" w:hAnsi="Times New Roman" w:eastAsia="宋体" w:cs="Times New Roman"/>
          <w:snapToGrid w:val="0"/>
          <w:sz w:val="24"/>
          <w:szCs w:val="24"/>
          <w:lang w:val="en-US" w:eastAsia="zh-CN"/>
        </w:rPr>
        <w:t>1 本项目地理位置图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_Toc30647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45</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_Toc13979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napToGrid w:val="0"/>
          <w:sz w:val="24"/>
          <w:szCs w:val="24"/>
        </w:rPr>
        <w:t>附</w:t>
      </w:r>
      <w:r>
        <w:rPr>
          <w:rFonts w:hint="default" w:ascii="Times New Roman" w:hAnsi="Times New Roman" w:eastAsia="宋体" w:cs="Times New Roman"/>
          <w:snapToGrid w:val="0"/>
          <w:sz w:val="24"/>
          <w:szCs w:val="24"/>
          <w:highlight w:val="none"/>
          <w:lang w:eastAsia="zh-CN"/>
        </w:rPr>
        <w:t>图</w:t>
      </w:r>
      <w:r>
        <w:rPr>
          <w:rFonts w:hint="default" w:ascii="Times New Roman" w:hAnsi="Times New Roman" w:eastAsia="宋体" w:cs="Times New Roman"/>
          <w:snapToGrid w:val="0"/>
          <w:sz w:val="24"/>
          <w:szCs w:val="24"/>
          <w:highlight w:val="none"/>
          <w:lang w:val="en-US" w:eastAsia="zh-CN"/>
        </w:rPr>
        <w:t>2 厂区总平面布置图</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_Toc13979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46</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_Toc7268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附件1 营业执照</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_Toc7268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_Toc17432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bCs/>
          <w:kern w:val="44"/>
          <w:sz w:val="24"/>
          <w:szCs w:val="24"/>
          <w:lang w:val="en-US" w:eastAsia="zh-CN" w:bidi="ar-SA"/>
        </w:rPr>
        <w:t>附件2 原有环保手续</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_Toc17432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48</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_Toc16509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附件3 燃料分析单</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_Toc16509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52</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_Toc13504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附件4 本项目现状监测报告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_Toc13504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53</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_Toc4057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附件5 本项目原有项目监测报告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_Toc4057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57</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22"/>
        <w:keepNext w:val="0"/>
        <w:keepLines w:val="0"/>
        <w:pageBreakBefore w:val="0"/>
        <w:widowControl w:val="0"/>
        <w:tabs>
          <w:tab w:val="right" w:leader="dot" w:pos="8844"/>
        </w:tabs>
        <w:kinsoku/>
        <w:wordWrap/>
        <w:overflowPunct/>
        <w:topLinePunct w:val="0"/>
        <w:bidi w:val="0"/>
        <w:snapToGrid/>
        <w:spacing w:line="360" w:lineRule="auto"/>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auto"/>
          <w:sz w:val="24"/>
          <w:szCs w:val="24"/>
          <w:lang w:eastAsia="zh-CN"/>
        </w:rPr>
        <w:fldChar w:fldCharType="begin"/>
      </w:r>
      <w:r>
        <w:rPr>
          <w:rFonts w:hint="default" w:ascii="Times New Roman" w:hAnsi="Times New Roman" w:eastAsia="宋体" w:cs="Times New Roman"/>
          <w:sz w:val="24"/>
          <w:szCs w:val="24"/>
          <w:lang w:eastAsia="zh-CN"/>
        </w:rPr>
        <w:instrText xml:space="preserve"> HYPERLINK \l _Toc14935 </w:instrText>
      </w:r>
      <w:r>
        <w:rPr>
          <w:rFonts w:hint="default" w:ascii="Times New Roman" w:hAnsi="Times New Roman" w:eastAsia="宋体" w:cs="Times New Roman"/>
          <w:sz w:val="24"/>
          <w:szCs w:val="24"/>
          <w:lang w:eastAsia="zh-CN"/>
        </w:rPr>
        <w:fldChar w:fldCharType="separate"/>
      </w:r>
      <w:r>
        <w:rPr>
          <w:rFonts w:hint="default" w:ascii="Times New Roman" w:hAnsi="Times New Roman" w:eastAsia="宋体" w:cs="Times New Roman"/>
          <w:sz w:val="24"/>
          <w:szCs w:val="24"/>
          <w:lang w:val="en-US" w:eastAsia="zh-CN"/>
        </w:rPr>
        <w:t>附件</w:t>
      </w:r>
      <w:r>
        <w:rPr>
          <w:rFonts w:hint="default" w:ascii="Times New Roman" w:hAnsi="Times New Roman" w:eastAsia="宋体" w:cs="Times New Roman"/>
          <w:sz w:val="24"/>
          <w:szCs w:val="24"/>
          <w:highlight w:val="none"/>
          <w:lang w:val="en-US" w:eastAsia="zh-CN"/>
        </w:rPr>
        <w:t>6 生态环境分区管控分析报告</w:t>
      </w:r>
      <w:r>
        <w:rPr>
          <w:rFonts w:hint="default" w:ascii="Times New Roman" w:hAnsi="Times New Roman" w:eastAsia="宋体" w:cs="Times New Roman"/>
          <w:sz w:val="24"/>
          <w:szCs w:val="24"/>
        </w:rPr>
        <w:tab/>
      </w:r>
      <w:r>
        <w:rPr>
          <w:rFonts w:hint="default" w:ascii="Times New Roman" w:hAnsi="Times New Roman" w:eastAsia="宋体" w:cs="Times New Roman"/>
          <w:sz w:val="24"/>
          <w:szCs w:val="24"/>
        </w:rPr>
        <w:fldChar w:fldCharType="begin"/>
      </w:r>
      <w:r>
        <w:rPr>
          <w:rFonts w:hint="default" w:ascii="Times New Roman" w:hAnsi="Times New Roman" w:eastAsia="宋体" w:cs="Times New Roman"/>
          <w:sz w:val="24"/>
          <w:szCs w:val="24"/>
        </w:rPr>
        <w:instrText xml:space="preserve"> PAGEREF _Toc14935 \h </w:instrText>
      </w:r>
      <w:r>
        <w:rPr>
          <w:rFonts w:hint="default" w:ascii="Times New Roman" w:hAnsi="Times New Roman" w:eastAsia="宋体" w:cs="Times New Roman"/>
          <w:sz w:val="24"/>
          <w:szCs w:val="24"/>
        </w:rPr>
        <w:fldChar w:fldCharType="separate"/>
      </w:r>
      <w:r>
        <w:rPr>
          <w:rFonts w:hint="default" w:ascii="Times New Roman" w:hAnsi="Times New Roman" w:eastAsia="宋体" w:cs="Times New Roman"/>
          <w:sz w:val="24"/>
          <w:szCs w:val="24"/>
        </w:rPr>
        <w:t>61</w:t>
      </w:r>
      <w:r>
        <w:rPr>
          <w:rFonts w:hint="default" w:ascii="Times New Roman" w:hAnsi="Times New Roman" w:eastAsia="宋体" w:cs="Times New Roman"/>
          <w:sz w:val="24"/>
          <w:szCs w:val="24"/>
        </w:rPr>
        <w:fldChar w:fldCharType="end"/>
      </w:r>
      <w:r>
        <w:rPr>
          <w:rFonts w:hint="default" w:ascii="Times New Roman" w:hAnsi="Times New Roman" w:eastAsia="宋体" w:cs="Times New Roman"/>
          <w:color w:val="auto"/>
          <w:sz w:val="24"/>
          <w:szCs w:val="24"/>
          <w:lang w:eastAsia="zh-CN"/>
        </w:rPr>
        <w:fldChar w:fldCharType="end"/>
      </w:r>
    </w:p>
    <w:p>
      <w:pPr>
        <w:pStyle w:val="36"/>
        <w:keepNext w:val="0"/>
        <w:keepLines w:val="0"/>
        <w:pageBreakBefore w:val="0"/>
        <w:widowControl w:val="0"/>
        <w:kinsoku/>
        <w:wordWrap/>
        <w:overflowPunct/>
        <w:topLinePunct w:val="0"/>
        <w:bidi w:val="0"/>
        <w:snapToGrid/>
        <w:spacing w:line="360" w:lineRule="auto"/>
        <w:textAlignment w:val="auto"/>
        <w:rPr>
          <w:rFonts w:hint="default" w:ascii="Times New Roman" w:hAnsi="Times New Roman" w:eastAsia="宋体" w:cs="Times New Roman"/>
          <w:color w:val="auto"/>
          <w:sz w:val="24"/>
          <w:szCs w:val="24"/>
          <w:lang w:eastAsia="zh-CN"/>
        </w:rPr>
        <w:sectPr>
          <w:pgSz w:w="11906" w:h="16838"/>
          <w:pgMar w:top="1701" w:right="1531" w:bottom="1701" w:left="1531" w:header="851" w:footer="1077" w:gutter="0"/>
          <w:pgBorders>
            <w:top w:val="none" w:sz="0" w:space="0"/>
            <w:left w:val="none" w:sz="0" w:space="0"/>
            <w:bottom w:val="none" w:sz="0" w:space="0"/>
            <w:right w:val="none" w:sz="0" w:space="0"/>
          </w:pgBorders>
          <w:pgNumType w:start="3"/>
          <w:cols w:space="720" w:num="1"/>
          <w:docGrid w:linePitch="312" w:charSpace="0"/>
        </w:sectPr>
      </w:pPr>
      <w:r>
        <w:rPr>
          <w:rFonts w:hint="default" w:ascii="Times New Roman" w:hAnsi="Times New Roman" w:eastAsia="宋体" w:cs="Times New Roman"/>
          <w:color w:val="auto"/>
          <w:sz w:val="24"/>
          <w:szCs w:val="24"/>
          <w:lang w:eastAsia="zh-CN"/>
        </w:rPr>
        <w:fldChar w:fldCharType="end"/>
      </w:r>
    </w:p>
    <w:p>
      <w:pPr>
        <w:pStyle w:val="25"/>
        <w:jc w:val="center"/>
        <w:outlineLvl w:val="0"/>
        <w:rPr>
          <w:rFonts w:hint="default" w:ascii="Times New Roman" w:hAnsi="Times New Roman" w:eastAsia="黑体" w:cs="Times New Roman"/>
          <w:snapToGrid w:val="0"/>
          <w:color w:val="auto"/>
          <w:sz w:val="30"/>
          <w:szCs w:val="30"/>
        </w:rPr>
      </w:pPr>
      <w:bookmarkStart w:id="13" w:name="_Toc15523"/>
      <w:bookmarkStart w:id="14" w:name="_Toc4776"/>
      <w:r>
        <w:rPr>
          <w:rFonts w:hint="default" w:ascii="Times New Roman" w:hAnsi="Times New Roman" w:eastAsia="黑体" w:cs="Times New Roman"/>
          <w:snapToGrid w:val="0"/>
          <w:color w:val="auto"/>
          <w:sz w:val="30"/>
          <w:szCs w:val="30"/>
        </w:rPr>
        <w:t>一、建设项目基本情况</w:t>
      </w:r>
      <w:bookmarkEnd w:id="13"/>
      <w:bookmarkEnd w:id="14"/>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29"/>
        <w:gridCol w:w="2703"/>
        <w:gridCol w:w="2239"/>
        <w:gridCol w:w="28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建设项目名称</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eastAsia="zh-CN"/>
              </w:rPr>
            </w:pPr>
            <w:r>
              <w:rPr>
                <w:rFonts w:hint="eastAsia" w:cs="Times New Roman"/>
                <w:b w:val="0"/>
                <w:bCs w:val="0"/>
                <w:color w:val="auto"/>
                <w:sz w:val="24"/>
                <w:szCs w:val="24"/>
                <w:lang w:eastAsia="zh-CN"/>
              </w:rPr>
              <w:t>嘉荫县乌云镇兴民种植农民专业合作社扩建项目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项目代码</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建设单位联系人</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yellow"/>
                <w:lang w:val="en-US" w:eastAsia="zh-CN"/>
              </w:rPr>
            </w:pPr>
          </w:p>
        </w:tc>
        <w:tc>
          <w:tcPr>
            <w:tcW w:w="2239"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联系方式</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6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建设地点</w:t>
            </w:r>
          </w:p>
        </w:tc>
        <w:tc>
          <w:tcPr>
            <w:tcW w:w="7809" w:type="dxa"/>
            <w:gridSpan w:val="3"/>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drawing>
                <wp:anchor distT="0" distB="0" distL="114300" distR="114300" simplePos="0" relativeHeight="251662336" behindDoc="0" locked="0" layoutInCell="1" allowOverlap="1">
                  <wp:simplePos x="0" y="0"/>
                  <wp:positionH relativeFrom="column">
                    <wp:posOffset>8580120</wp:posOffset>
                  </wp:positionH>
                  <wp:positionV relativeFrom="paragraph">
                    <wp:posOffset>1028700</wp:posOffset>
                  </wp:positionV>
                  <wp:extent cx="1192530" cy="1285875"/>
                  <wp:effectExtent l="9525" t="9525" r="17145" b="19050"/>
                  <wp:wrapNone/>
                  <wp:docPr id="5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32"/>
                          <pic:cNvPicPr>
                            <a:picLocks noChangeAspect="1"/>
                          </pic:cNvPicPr>
                        </pic:nvPicPr>
                        <pic:blipFill>
                          <a:blip r:embed="rId9"/>
                          <a:stretch>
                            <a:fillRect/>
                          </a:stretch>
                        </pic:blipFill>
                        <pic:spPr>
                          <a:xfrm>
                            <a:off x="0" y="0"/>
                            <a:ext cx="1192530" cy="1285875"/>
                          </a:xfrm>
                          <a:prstGeom prst="rect">
                            <a:avLst/>
                          </a:prstGeom>
                          <a:noFill/>
                          <a:ln w="9525" cap="flat" cmpd="sng">
                            <a:solidFill>
                              <a:srgbClr val="000000"/>
                            </a:solidFill>
                            <a:prstDash val="solid"/>
                            <a:miter/>
                            <a:headEnd type="none" w="med" len="med"/>
                            <a:tailEnd type="none" w="med" len="med"/>
                          </a:ln>
                        </pic:spPr>
                      </pic:pic>
                    </a:graphicData>
                  </a:graphic>
                </wp:anchor>
              </w:drawing>
            </w:r>
            <w:r>
              <w:rPr>
                <w:rFonts w:hint="eastAsia" w:ascii="Times New Roman" w:hAnsi="Times New Roman" w:cs="Times New Roman"/>
                <w:color w:val="auto"/>
                <w:sz w:val="24"/>
                <w:szCs w:val="24"/>
                <w:highlight w:val="none"/>
                <w:lang w:eastAsia="zh-CN"/>
              </w:rPr>
              <w:t>伊春市嘉荫县</w:t>
            </w:r>
            <w:r>
              <w:rPr>
                <w:rFonts w:hint="eastAsia" w:cs="Times New Roman"/>
                <w:color w:val="auto"/>
                <w:sz w:val="24"/>
                <w:szCs w:val="24"/>
                <w:highlight w:val="none"/>
                <w:lang w:val="en-US" w:eastAsia="zh-CN"/>
              </w:rPr>
              <w:t>乌云镇旧城村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地理坐标</w:t>
            </w:r>
          </w:p>
        </w:tc>
        <w:tc>
          <w:tcPr>
            <w:tcW w:w="7809" w:type="dxa"/>
            <w:gridSpan w:val="3"/>
            <w:noWrap w:val="0"/>
            <w:vAlign w:val="center"/>
          </w:tcPr>
          <w:p>
            <w:pPr>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 xml:space="preserve"> 1</w:t>
            </w:r>
            <w:r>
              <w:rPr>
                <w:rFonts w:hint="eastAsia" w:cs="Times New Roman"/>
                <w:color w:val="auto"/>
                <w:sz w:val="24"/>
                <w:szCs w:val="24"/>
                <w:highlight w:val="none"/>
                <w:u w:val="single"/>
                <w:lang w:val="en-US" w:eastAsia="zh-CN"/>
              </w:rPr>
              <w:t>29</w:t>
            </w:r>
            <w:r>
              <w:rPr>
                <w:rFonts w:hint="default" w:ascii="Times New Roman" w:hAnsi="Times New Roman" w:cs="Times New Roman"/>
                <w:color w:val="auto"/>
                <w:sz w:val="24"/>
                <w:szCs w:val="24"/>
                <w:highlight w:val="none"/>
              </w:rPr>
              <w:t>度</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40</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分</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53.774</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u w:val="single"/>
              </w:rPr>
              <w:t xml:space="preserve"> 4</w:t>
            </w:r>
            <w:r>
              <w:rPr>
                <w:rFonts w:hint="eastAsia" w:cs="Times New Roman"/>
                <w:color w:val="auto"/>
                <w:sz w:val="24"/>
                <w:szCs w:val="24"/>
                <w:highlight w:val="none"/>
                <w:u w:val="single"/>
                <w:lang w:val="en-US" w:eastAsia="zh-CN"/>
              </w:rPr>
              <w:t>9</w:t>
            </w:r>
            <w:r>
              <w:rPr>
                <w:rFonts w:hint="default" w:ascii="Times New Roman" w:hAnsi="Times New Roman" w:cs="Times New Roman"/>
                <w:color w:val="auto"/>
                <w:sz w:val="24"/>
                <w:szCs w:val="24"/>
                <w:highlight w:val="none"/>
                <w:u w:val="single"/>
              </w:rPr>
              <w:t xml:space="preserve"> 度 </w:t>
            </w:r>
            <w:r>
              <w:rPr>
                <w:rFonts w:hint="eastAsia" w:cs="Times New Roman"/>
                <w:color w:val="auto"/>
                <w:sz w:val="24"/>
                <w:szCs w:val="24"/>
                <w:highlight w:val="none"/>
                <w:u w:val="single"/>
                <w:lang w:val="en-US" w:eastAsia="zh-CN"/>
              </w:rPr>
              <w:t>16</w:t>
            </w:r>
            <w:r>
              <w:rPr>
                <w:rFonts w:hint="default" w:ascii="Times New Roman" w:hAnsi="Times New Roman" w:cs="Times New Roman"/>
                <w:color w:val="auto"/>
                <w:sz w:val="24"/>
                <w:szCs w:val="24"/>
                <w:highlight w:val="none"/>
                <w:u w:val="single"/>
                <w:lang w:val="en-US" w:eastAsia="zh-CN"/>
              </w:rPr>
              <w:t xml:space="preserve"> </w:t>
            </w:r>
            <w:r>
              <w:rPr>
                <w:rFonts w:hint="default" w:ascii="Times New Roman" w:hAnsi="Times New Roman" w:cs="Times New Roman"/>
                <w:color w:val="auto"/>
                <w:sz w:val="24"/>
                <w:szCs w:val="24"/>
                <w:highlight w:val="none"/>
                <w:u w:val="single"/>
              </w:rPr>
              <w:t xml:space="preserve">分 </w:t>
            </w:r>
            <w:r>
              <w:rPr>
                <w:rFonts w:hint="eastAsia" w:cs="Times New Roman"/>
                <w:color w:val="auto"/>
                <w:sz w:val="24"/>
                <w:szCs w:val="24"/>
                <w:highlight w:val="none"/>
                <w:u w:val="single"/>
                <w:lang w:val="en-US" w:eastAsia="zh-CN"/>
              </w:rPr>
              <w:t>48.372</w:t>
            </w:r>
            <w:r>
              <w:rPr>
                <w:rFonts w:hint="default" w:ascii="Times New Roman" w:hAnsi="Times New Roman" w:cs="Times New Roman"/>
                <w:color w:val="auto"/>
                <w:sz w:val="24"/>
                <w:szCs w:val="24"/>
                <w:highlight w:val="none"/>
                <w:u w:val="single"/>
              </w:rPr>
              <w:t xml:space="preserve"> 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35"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国民经济</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行业类别</w:t>
            </w:r>
          </w:p>
        </w:tc>
        <w:tc>
          <w:tcPr>
            <w:tcW w:w="2703" w:type="dxa"/>
            <w:noWrap w:val="0"/>
            <w:vAlign w:val="center"/>
          </w:tcPr>
          <w:p>
            <w:pPr>
              <w:adjustRightInd w:val="0"/>
              <w:snapToGrid w:val="0"/>
              <w:jc w:val="center"/>
              <w:rPr>
                <w:rFonts w:hint="default"/>
                <w:color w:val="auto"/>
                <w:sz w:val="24"/>
                <w:szCs w:val="24"/>
                <w:lang w:val="en-US" w:eastAsia="zh-CN"/>
              </w:rPr>
            </w:pPr>
            <w:r>
              <w:rPr>
                <w:rFonts w:hint="default"/>
                <w:color w:val="auto"/>
                <w:sz w:val="24"/>
                <w:szCs w:val="24"/>
                <w:lang w:val="en-US" w:eastAsia="zh-CN"/>
              </w:rPr>
              <w:t>D4430热力生产和供应</w:t>
            </w:r>
          </w:p>
          <w:p>
            <w:pPr>
              <w:pStyle w:val="27"/>
              <w:ind w:left="0" w:leftChars="0" w:firstLine="0" w:firstLineChars="0"/>
              <w:jc w:val="center"/>
              <w:rPr>
                <w:rFonts w:hint="default"/>
                <w:color w:val="auto"/>
                <w:lang w:val="en-US" w:eastAsia="zh-CN"/>
              </w:rPr>
            </w:pPr>
            <w:r>
              <w:rPr>
                <w:rFonts w:hint="eastAsia"/>
                <w:color w:val="auto"/>
                <w:sz w:val="24"/>
                <w:szCs w:val="24"/>
                <w:lang w:val="en-US" w:eastAsia="zh-CN"/>
              </w:rPr>
              <w:t>A0514农产品初加工活动</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行业类别</w:t>
            </w:r>
          </w:p>
        </w:tc>
        <w:tc>
          <w:tcPr>
            <w:tcW w:w="2867" w:type="dxa"/>
            <w:noWrap w:val="0"/>
            <w:vAlign w:val="center"/>
          </w:tcPr>
          <w:p>
            <w:pPr>
              <w:numPr>
                <w:ilvl w:val="0"/>
                <w:numId w:val="0"/>
              </w:numPr>
              <w:adjustRightInd w:val="0"/>
              <w:snapToGrid w:val="0"/>
              <w:ind w:left="0" w:leftChars="0" w:firstLine="0" w:firstLineChars="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91</w:t>
            </w:r>
            <w:r>
              <w:rPr>
                <w:rFonts w:hint="default" w:ascii="Times New Roman" w:hAnsi="Times New Roman" w:cs="Times New Roman"/>
                <w:color w:val="auto"/>
                <w:sz w:val="24"/>
                <w:szCs w:val="24"/>
              </w:rPr>
              <w:t>热力生产和供应工程 （包括建设单位自建 自用的供热工程）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1219"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建设性质</w:t>
            </w:r>
          </w:p>
        </w:tc>
        <w:tc>
          <w:tcPr>
            <w:tcW w:w="2703" w:type="dxa"/>
            <w:noWrap w:val="0"/>
            <w:vAlign w:val="center"/>
          </w:tcPr>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新建（迁建）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改建</w:t>
            </w:r>
          </w:p>
          <w:p>
            <w:pPr>
              <w:jc w:val="left"/>
              <w:rPr>
                <w:rFonts w:hint="default" w:ascii="Times New Roman" w:hAnsi="Times New Roman" w:cs="Times New Roman"/>
                <w:color w:val="auto"/>
                <w:sz w:val="24"/>
                <w:szCs w:val="24"/>
              </w:rPr>
            </w:pPr>
            <w:r>
              <w:rPr>
                <w:rFonts w:hint="eastAsia" w:cs="Times New Roman"/>
                <w:color w:val="auto"/>
                <w:sz w:val="24"/>
                <w:szCs w:val="24"/>
                <w:lang w:eastAsia="zh-CN"/>
              </w:rPr>
              <w:t>☑</w:t>
            </w:r>
            <w:r>
              <w:rPr>
                <w:rFonts w:hint="default" w:ascii="Times New Roman" w:hAnsi="Times New Roman" w:cs="Times New Roman"/>
                <w:color w:val="auto"/>
                <w:sz w:val="24"/>
                <w:szCs w:val="24"/>
              </w:rPr>
              <w:t>扩建</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□技术改造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建设项目</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申报情形</w:t>
            </w:r>
          </w:p>
        </w:tc>
        <w:tc>
          <w:tcPr>
            <w:tcW w:w="2867" w:type="dxa"/>
            <w:noWrap w:val="0"/>
            <w:vAlign w:val="center"/>
          </w:tcPr>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rPr>
              <w:t xml:space="preserve">首次申报项目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□不予批准后再次申报项目</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□超五年重新审核项目     </w:t>
            </w:r>
          </w:p>
          <w:p>
            <w:pPr>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851"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备案）部门（选填）</w:t>
            </w:r>
          </w:p>
        </w:tc>
        <w:tc>
          <w:tcPr>
            <w:tcW w:w="270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c>
          <w:tcPr>
            <w:tcW w:w="223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项目审批（核准/</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备案）文号（选填）</w:t>
            </w:r>
          </w:p>
        </w:tc>
        <w:tc>
          <w:tcPr>
            <w:tcW w:w="286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auto"/>
                <w:kern w:val="0"/>
                <w:sz w:val="24"/>
                <w:szCs w:val="24"/>
                <w:highlight w:val="none"/>
                <w:lang w:val="en-US" w:eastAsia="zh-CN"/>
              </w:rPr>
              <w:t>150</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eastAsia" w:cs="Times New Roman"/>
                <w:bCs/>
                <w:color w:val="FF0000"/>
                <w:kern w:val="0"/>
                <w:sz w:val="24"/>
                <w:szCs w:val="24"/>
                <w:highlight w:val="none"/>
                <w:lang w:val="en-US" w:eastAsia="zh-CN"/>
              </w:rPr>
              <w:t>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764"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2703" w:type="dxa"/>
            <w:noWrap w:val="0"/>
            <w:vAlign w:val="center"/>
          </w:tcPr>
          <w:p>
            <w:pPr>
              <w:adjustRightInd w:val="0"/>
              <w:snapToGrid w:val="0"/>
              <w:jc w:val="center"/>
              <w:rPr>
                <w:rFonts w:hint="default" w:ascii="Times New Roman" w:hAnsi="Times New Roman" w:eastAsia="宋体" w:cs="Times New Roman"/>
                <w:color w:val="auto"/>
                <w:sz w:val="24"/>
                <w:szCs w:val="24"/>
                <w:highlight w:val="yellow"/>
                <w:lang w:val="en-US" w:eastAsia="zh-CN"/>
              </w:rPr>
            </w:pPr>
            <w:r>
              <w:rPr>
                <w:rFonts w:hint="eastAsia" w:cs="Times New Roman"/>
                <w:color w:val="auto"/>
                <w:sz w:val="24"/>
                <w:szCs w:val="24"/>
                <w:highlight w:val="none"/>
                <w:lang w:val="en-US" w:eastAsia="zh-CN"/>
              </w:rPr>
              <w:t>3.33</w:t>
            </w:r>
            <w:r>
              <w:rPr>
                <w:rFonts w:hint="default" w:ascii="Times New Roman" w:hAnsi="Times New Roman" w:cs="Times New Roman"/>
                <w:color w:val="auto"/>
                <w:sz w:val="24"/>
                <w:szCs w:val="24"/>
                <w:highlight w:val="none"/>
              </w:rPr>
              <w:t>%</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highlight w:val="none"/>
              </w:rPr>
            </w:pPr>
            <w:r>
              <w:rPr>
                <w:rFonts w:hint="default" w:ascii="Times New Roman" w:hAnsi="Times New Roman" w:cs="Times New Roman"/>
                <w:bCs/>
                <w:color w:val="auto"/>
                <w:kern w:val="0"/>
                <w:sz w:val="24"/>
                <w:szCs w:val="24"/>
                <w:highlight w:val="none"/>
              </w:rPr>
              <w:t>施工工期</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bCs/>
                <w:color w:val="auto"/>
                <w:kern w:val="0"/>
                <w:sz w:val="24"/>
                <w:szCs w:val="24"/>
                <w:highlight w:val="none"/>
                <w:lang w:val="en-US"/>
              </w:rPr>
              <w:t>202</w:t>
            </w:r>
            <w:r>
              <w:rPr>
                <w:rFonts w:hint="default" w:cs="Times New Roman"/>
                <w:bCs/>
                <w:color w:val="auto"/>
                <w:kern w:val="0"/>
                <w:sz w:val="24"/>
                <w:szCs w:val="24"/>
                <w:highlight w:val="none"/>
                <w:lang w:val="en-US" w:eastAsia="zh-CN"/>
              </w:rPr>
              <w:t>6</w:t>
            </w:r>
            <w:r>
              <w:rPr>
                <w:rFonts w:hint="default" w:ascii="Times New Roman" w:hAnsi="Times New Roman" w:cs="Times New Roman"/>
                <w:bCs/>
                <w:color w:val="auto"/>
                <w:kern w:val="0"/>
                <w:sz w:val="24"/>
                <w:szCs w:val="24"/>
                <w:highlight w:val="none"/>
                <w:lang w:val="en-US"/>
              </w:rPr>
              <w:t>.</w:t>
            </w:r>
            <w:r>
              <w:rPr>
                <w:rFonts w:hint="eastAsia" w:cs="Times New Roman"/>
                <w:bCs/>
                <w:color w:val="auto"/>
                <w:kern w:val="0"/>
                <w:sz w:val="24"/>
                <w:szCs w:val="24"/>
                <w:highlight w:val="none"/>
                <w:lang w:val="en-US" w:eastAsia="zh-CN"/>
              </w:rPr>
              <w:t>9-2026.10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Ex>
        <w:trPr>
          <w:trHeight w:val="497" w:hRule="atLeast"/>
          <w:jc w:val="center"/>
        </w:trPr>
        <w:tc>
          <w:tcPr>
            <w:tcW w:w="182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是否开工建设</w:t>
            </w:r>
          </w:p>
        </w:tc>
        <w:tc>
          <w:tcPr>
            <w:tcW w:w="2703" w:type="dxa"/>
            <w:noWrap w:val="0"/>
            <w:vAlign w:val="center"/>
          </w:tcPr>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否</w:t>
            </w:r>
          </w:p>
          <w:p>
            <w:pPr>
              <w:adjustRightInd w:val="0"/>
              <w:snapToGrid w:val="0"/>
              <w:rPr>
                <w:rFonts w:hint="default" w:ascii="Times New Roman" w:hAnsi="Times New Roman" w:cs="Times New Roman"/>
                <w:color w:val="auto"/>
                <w:sz w:val="24"/>
                <w:szCs w:val="24"/>
              </w:rPr>
            </w:pPr>
            <w:r>
              <w:rPr>
                <w:rFonts w:hint="eastAsia" w:ascii="Times New Roman" w:hAnsi="Times New Roman" w:cs="Times New Roman"/>
                <w:color w:val="auto"/>
                <w:sz w:val="24"/>
                <w:szCs w:val="24"/>
                <w:lang w:eastAsia="zh-CN"/>
              </w:rPr>
              <w:t>□</w:t>
            </w:r>
            <w:r>
              <w:rPr>
                <w:rFonts w:hint="default" w:ascii="Times New Roman" w:hAnsi="Times New Roman" w:cs="Times New Roman"/>
                <w:color w:val="auto"/>
                <w:sz w:val="24"/>
                <w:szCs w:val="24"/>
              </w:rPr>
              <w:t>是：</w:t>
            </w:r>
            <w:r>
              <w:rPr>
                <w:rFonts w:hint="default" w:ascii="Times New Roman" w:hAnsi="Times New Roman" w:cs="Times New Roman"/>
                <w:color w:val="auto"/>
                <w:sz w:val="24"/>
                <w:szCs w:val="24"/>
                <w:highlight w:val="none"/>
                <w:u w:val="single"/>
              </w:rPr>
              <w:t xml:space="preserve">    </w:t>
            </w:r>
          </w:p>
        </w:tc>
        <w:tc>
          <w:tcPr>
            <w:tcW w:w="2239"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4"/>
                <w:szCs w:val="24"/>
              </w:rPr>
            </w:pPr>
            <w:r>
              <w:rPr>
                <w:rFonts w:hint="default" w:ascii="Times New Roman" w:hAnsi="Times New Roman" w:cs="Times New Roman"/>
                <w:color w:val="auto"/>
                <w:spacing w:val="-6"/>
                <w:sz w:val="24"/>
                <w:szCs w:val="24"/>
              </w:rPr>
              <w:t>用地（用海）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pacing w:val="-6"/>
                <w:sz w:val="24"/>
                <w:szCs w:val="24"/>
              </w:rPr>
              <w:t>面积（m</w:t>
            </w:r>
            <w:r>
              <w:rPr>
                <w:rFonts w:hint="default" w:ascii="Times New Roman" w:hAnsi="Times New Roman" w:cs="Times New Roman"/>
                <w:color w:val="auto"/>
                <w:spacing w:val="-6"/>
                <w:sz w:val="24"/>
                <w:szCs w:val="24"/>
                <w:vertAlign w:val="superscript"/>
              </w:rPr>
              <w:t>2</w:t>
            </w:r>
            <w:r>
              <w:rPr>
                <w:rFonts w:hint="default" w:ascii="Times New Roman" w:hAnsi="Times New Roman" w:cs="Times New Roman"/>
                <w:color w:val="auto"/>
                <w:spacing w:val="-6"/>
                <w:sz w:val="24"/>
                <w:szCs w:val="24"/>
              </w:rPr>
              <w:t>）</w:t>
            </w:r>
          </w:p>
        </w:tc>
        <w:tc>
          <w:tcPr>
            <w:tcW w:w="286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bCs/>
                <w:color w:val="auto"/>
                <w:kern w:val="0"/>
                <w:sz w:val="24"/>
                <w:szCs w:val="24"/>
                <w:lang w:val="en-US" w:eastAsia="zh-CN"/>
              </w:rPr>
              <w:t>无新增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7"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专项评价设置情况</w:t>
            </w:r>
          </w:p>
        </w:tc>
        <w:tc>
          <w:tcPr>
            <w:tcW w:w="7809" w:type="dxa"/>
            <w:gridSpan w:val="3"/>
            <w:noWrap w:val="0"/>
            <w:vAlign w:val="center"/>
          </w:tcPr>
          <w:p>
            <w:pPr>
              <w:autoSpaceDE w:val="0"/>
              <w:autoSpaceDN w:val="0"/>
              <w:adjustRightInd w:val="0"/>
              <w:snapToGrid w:val="0"/>
              <w:spacing w:line="340" w:lineRule="exact"/>
              <w:jc w:val="center"/>
              <w:rPr>
                <w:rFonts w:hint="default" w:eastAsia="宋体"/>
                <w:color w:val="auto"/>
                <w:kern w:val="0"/>
                <w:sz w:val="24"/>
                <w:lang w:val="en-US" w:eastAsia="zh-CN"/>
              </w:rPr>
            </w:pPr>
            <w:r>
              <w:rPr>
                <w:rFonts w:hint="eastAsia"/>
                <w:color w:val="auto"/>
                <w:kern w:val="0"/>
                <w:sz w:val="24"/>
                <w:lang w:val="en-US" w:eastAsia="zh-CN"/>
              </w:rPr>
              <w:t>表1-1 专项评价设置情况</w:t>
            </w:r>
          </w:p>
          <w:tbl>
            <w:tblPr>
              <w:tblStyle w:val="30"/>
              <w:tblW w:w="7593" w:type="dxa"/>
              <w:jc w:val="center"/>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2761"/>
              <w:gridCol w:w="2935"/>
              <w:gridCol w:w="854"/>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pStyle w:val="108"/>
                    <w:adjustRightInd w:val="0"/>
                    <w:snapToGrid w:val="0"/>
                    <w:spacing w:line="240" w:lineRule="auto"/>
                    <w:rPr>
                      <w:color w:val="auto"/>
                      <w:sz w:val="21"/>
                      <w:szCs w:val="21"/>
                    </w:rPr>
                  </w:pPr>
                  <w:r>
                    <w:rPr>
                      <w:color w:val="auto"/>
                      <w:sz w:val="21"/>
                      <w:szCs w:val="21"/>
                    </w:rPr>
                    <w:t>专项评价的类别</w:t>
                  </w:r>
                </w:p>
              </w:tc>
              <w:tc>
                <w:tcPr>
                  <w:tcW w:w="2761" w:type="dxa"/>
                  <w:noWrap w:val="0"/>
                  <w:vAlign w:val="center"/>
                </w:tcPr>
                <w:p>
                  <w:pPr>
                    <w:pStyle w:val="108"/>
                    <w:adjustRightInd w:val="0"/>
                    <w:snapToGrid w:val="0"/>
                    <w:spacing w:line="240" w:lineRule="auto"/>
                    <w:rPr>
                      <w:color w:val="auto"/>
                      <w:sz w:val="21"/>
                      <w:szCs w:val="21"/>
                    </w:rPr>
                  </w:pPr>
                  <w:r>
                    <w:rPr>
                      <w:color w:val="auto"/>
                      <w:sz w:val="21"/>
                      <w:szCs w:val="21"/>
                    </w:rPr>
                    <w:t>设置原则</w:t>
                  </w:r>
                </w:p>
              </w:tc>
              <w:tc>
                <w:tcPr>
                  <w:tcW w:w="2935" w:type="dxa"/>
                  <w:noWrap w:val="0"/>
                  <w:vAlign w:val="center"/>
                </w:tcPr>
                <w:p>
                  <w:pPr>
                    <w:pStyle w:val="108"/>
                    <w:adjustRightInd w:val="0"/>
                    <w:snapToGrid w:val="0"/>
                    <w:spacing w:line="240" w:lineRule="auto"/>
                    <w:rPr>
                      <w:color w:val="auto"/>
                      <w:sz w:val="21"/>
                      <w:szCs w:val="21"/>
                    </w:rPr>
                  </w:pPr>
                  <w:r>
                    <w:rPr>
                      <w:color w:val="auto"/>
                      <w:sz w:val="21"/>
                      <w:szCs w:val="21"/>
                    </w:rPr>
                    <w:t>本项目执行情况</w:t>
                  </w:r>
                </w:p>
              </w:tc>
              <w:tc>
                <w:tcPr>
                  <w:tcW w:w="854" w:type="dxa"/>
                  <w:noWrap w:val="0"/>
                  <w:vAlign w:val="center"/>
                </w:tcPr>
                <w:p>
                  <w:pPr>
                    <w:pStyle w:val="108"/>
                    <w:adjustRightInd w:val="0"/>
                    <w:snapToGrid w:val="0"/>
                    <w:spacing w:line="240" w:lineRule="auto"/>
                    <w:rPr>
                      <w:color w:val="auto"/>
                      <w:sz w:val="21"/>
                      <w:szCs w:val="21"/>
                    </w:rPr>
                  </w:pPr>
                  <w:r>
                    <w:rPr>
                      <w:rFonts w:hint="eastAsia"/>
                      <w:color w:val="auto"/>
                      <w:sz w:val="21"/>
                      <w:szCs w:val="21"/>
                    </w:rPr>
                    <w:t>是否开展专项评价</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大气</w:t>
                  </w:r>
                </w:p>
              </w:tc>
              <w:tc>
                <w:tcPr>
                  <w:tcW w:w="2761" w:type="dxa"/>
                  <w:noWrap w:val="0"/>
                  <w:vAlign w:val="center"/>
                </w:tcPr>
                <w:p>
                  <w:pPr>
                    <w:adjustRightInd w:val="0"/>
                    <w:snapToGrid w:val="0"/>
                    <w:rPr>
                      <w:color w:val="auto"/>
                      <w:sz w:val="21"/>
                      <w:szCs w:val="21"/>
                    </w:rPr>
                  </w:pPr>
                  <w:r>
                    <w:rPr>
                      <w:color w:val="auto"/>
                      <w:sz w:val="21"/>
                      <w:szCs w:val="21"/>
                    </w:rPr>
                    <w:t>排放废气含有毒有害污染物、二噁英、苯并[a]芘、氰化物、氯气且厂界外500米范围内有环境空气保护目标的建设项目</w:t>
                  </w:r>
                </w:p>
              </w:tc>
              <w:tc>
                <w:tcPr>
                  <w:tcW w:w="2935" w:type="dxa"/>
                  <w:noWrap w:val="0"/>
                  <w:vAlign w:val="center"/>
                </w:tcPr>
                <w:p>
                  <w:pPr>
                    <w:adjustRightInd w:val="0"/>
                    <w:snapToGrid w:val="0"/>
                    <w:jc w:val="center"/>
                    <w:rPr>
                      <w:color w:val="auto"/>
                      <w:sz w:val="21"/>
                      <w:szCs w:val="21"/>
                    </w:rPr>
                  </w:pPr>
                  <w:r>
                    <w:rPr>
                      <w:rFonts w:hint="eastAsia"/>
                      <w:color w:val="auto"/>
                      <w:sz w:val="21"/>
                      <w:szCs w:val="21"/>
                      <w:lang w:val="en-US" w:eastAsia="zh-CN"/>
                    </w:rPr>
                    <w:t>本项目不排放</w:t>
                  </w:r>
                  <w:r>
                    <w:rPr>
                      <w:color w:val="auto"/>
                      <w:sz w:val="21"/>
                      <w:szCs w:val="21"/>
                    </w:rPr>
                    <w:t>含有毒有害污染物</w:t>
                  </w:r>
                  <w:r>
                    <w:rPr>
                      <w:rFonts w:hint="eastAsia"/>
                      <w:color w:val="auto"/>
                      <w:sz w:val="21"/>
                      <w:szCs w:val="21"/>
                      <w:lang w:eastAsia="zh-CN"/>
                    </w:rPr>
                    <w:t>，</w:t>
                  </w:r>
                  <w:r>
                    <w:rPr>
                      <w:rFonts w:hint="eastAsia"/>
                      <w:color w:val="auto"/>
                      <w:sz w:val="21"/>
                      <w:szCs w:val="21"/>
                    </w:rPr>
                    <w:t>不进行大气专项评价。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地表水</w:t>
                  </w:r>
                </w:p>
              </w:tc>
              <w:tc>
                <w:tcPr>
                  <w:tcW w:w="2761" w:type="dxa"/>
                  <w:noWrap w:val="0"/>
                  <w:vAlign w:val="center"/>
                </w:tcPr>
                <w:p>
                  <w:pPr>
                    <w:adjustRightInd w:val="0"/>
                    <w:snapToGrid w:val="0"/>
                    <w:rPr>
                      <w:color w:val="auto"/>
                      <w:sz w:val="21"/>
                      <w:szCs w:val="21"/>
                    </w:rPr>
                  </w:pPr>
                  <w:r>
                    <w:rPr>
                      <w:color w:val="auto"/>
                      <w:sz w:val="21"/>
                      <w:szCs w:val="21"/>
                    </w:rPr>
                    <w:t>新增工业废水直排建设项目（槽罐车外送污水处理厂的除外）；</w:t>
                  </w:r>
                </w:p>
                <w:p>
                  <w:pPr>
                    <w:adjustRightInd w:val="0"/>
                    <w:snapToGrid w:val="0"/>
                    <w:rPr>
                      <w:color w:val="auto"/>
                      <w:sz w:val="21"/>
                      <w:szCs w:val="21"/>
                    </w:rPr>
                  </w:pPr>
                  <w:r>
                    <w:rPr>
                      <w:color w:val="auto"/>
                      <w:sz w:val="21"/>
                      <w:szCs w:val="21"/>
                    </w:rPr>
                    <w:t>新增废水直排的污水集中处理厂</w:t>
                  </w:r>
                </w:p>
              </w:tc>
              <w:tc>
                <w:tcPr>
                  <w:tcW w:w="2935" w:type="dxa"/>
                  <w:noWrap w:val="0"/>
                  <w:vAlign w:val="center"/>
                </w:tcPr>
                <w:p>
                  <w:pPr>
                    <w:adjustRightInd w:val="0"/>
                    <w:snapToGrid w:val="0"/>
                    <w:jc w:val="center"/>
                    <w:rPr>
                      <w:color w:val="auto"/>
                      <w:sz w:val="21"/>
                      <w:szCs w:val="21"/>
                    </w:rPr>
                  </w:pPr>
                  <w:r>
                    <w:rPr>
                      <w:bCs/>
                      <w:color w:val="auto"/>
                      <w:sz w:val="21"/>
                      <w:szCs w:val="21"/>
                    </w:rPr>
                    <w:t>本项目</w:t>
                  </w:r>
                  <w:r>
                    <w:rPr>
                      <w:rFonts w:hint="eastAsia"/>
                      <w:bCs/>
                      <w:color w:val="auto"/>
                      <w:sz w:val="21"/>
                      <w:szCs w:val="21"/>
                      <w:lang w:val="en-US" w:eastAsia="zh-CN"/>
                    </w:rPr>
                    <w:t>废水不直接排放</w:t>
                  </w:r>
                  <w:r>
                    <w:rPr>
                      <w:color w:val="auto"/>
                      <w:sz w:val="21"/>
                      <w:szCs w:val="21"/>
                    </w:rPr>
                    <w:t>。不开展专项评价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28" w:hRule="atLeast"/>
                <w:jc w:val="center"/>
              </w:trPr>
              <w:tc>
                <w:tcPr>
                  <w:tcW w:w="1043" w:type="dxa"/>
                  <w:noWrap w:val="0"/>
                  <w:vAlign w:val="center"/>
                </w:tcPr>
                <w:p>
                  <w:pPr>
                    <w:adjustRightInd w:val="0"/>
                    <w:snapToGrid w:val="0"/>
                    <w:jc w:val="center"/>
                    <w:rPr>
                      <w:color w:val="auto"/>
                      <w:sz w:val="21"/>
                      <w:szCs w:val="21"/>
                    </w:rPr>
                  </w:pPr>
                  <w:r>
                    <w:rPr>
                      <w:color w:val="auto"/>
                      <w:sz w:val="21"/>
                      <w:szCs w:val="21"/>
                    </w:rPr>
                    <w:t>环境风险</w:t>
                  </w:r>
                </w:p>
              </w:tc>
              <w:tc>
                <w:tcPr>
                  <w:tcW w:w="2761" w:type="dxa"/>
                  <w:noWrap w:val="0"/>
                  <w:vAlign w:val="center"/>
                </w:tcPr>
                <w:p>
                  <w:pPr>
                    <w:adjustRightInd w:val="0"/>
                    <w:snapToGrid w:val="0"/>
                    <w:rPr>
                      <w:color w:val="auto"/>
                      <w:sz w:val="21"/>
                      <w:szCs w:val="21"/>
                    </w:rPr>
                  </w:pPr>
                  <w:r>
                    <w:rPr>
                      <w:color w:val="auto"/>
                      <w:sz w:val="21"/>
                      <w:szCs w:val="21"/>
                    </w:rPr>
                    <w:t>有毒有害和易燃易爆危险物质存储量超过临界量的建设项目</w:t>
                  </w:r>
                </w:p>
              </w:tc>
              <w:tc>
                <w:tcPr>
                  <w:tcW w:w="2935" w:type="dxa"/>
                  <w:noWrap w:val="0"/>
                  <w:vAlign w:val="center"/>
                </w:tcPr>
                <w:p>
                  <w:pPr>
                    <w:adjustRightInd w:val="0"/>
                    <w:snapToGrid w:val="0"/>
                    <w:jc w:val="center"/>
                    <w:rPr>
                      <w:color w:val="auto"/>
                      <w:sz w:val="21"/>
                      <w:szCs w:val="21"/>
                    </w:rPr>
                  </w:pPr>
                  <w:r>
                    <w:rPr>
                      <w:color w:val="auto"/>
                      <w:sz w:val="21"/>
                      <w:szCs w:val="21"/>
                    </w:rPr>
                    <w:t>本项目危险物质存储量</w:t>
                  </w:r>
                  <w:r>
                    <w:rPr>
                      <w:rFonts w:hint="eastAsia"/>
                      <w:color w:val="auto"/>
                      <w:sz w:val="21"/>
                      <w:szCs w:val="21"/>
                      <w:lang w:val="en-US" w:eastAsia="zh-CN"/>
                    </w:rPr>
                    <w:t>小于</w:t>
                  </w:r>
                  <w:r>
                    <w:rPr>
                      <w:color w:val="auto"/>
                      <w:sz w:val="21"/>
                      <w:szCs w:val="21"/>
                    </w:rPr>
                    <w:t>临界量</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生态</w:t>
                  </w:r>
                </w:p>
              </w:tc>
              <w:tc>
                <w:tcPr>
                  <w:tcW w:w="2761" w:type="dxa"/>
                  <w:noWrap w:val="0"/>
                  <w:vAlign w:val="center"/>
                </w:tcPr>
                <w:p>
                  <w:pPr>
                    <w:adjustRightInd w:val="0"/>
                    <w:snapToGrid w:val="0"/>
                    <w:rPr>
                      <w:color w:val="auto"/>
                      <w:sz w:val="21"/>
                      <w:szCs w:val="21"/>
                    </w:rPr>
                  </w:pPr>
                  <w:r>
                    <w:rPr>
                      <w:color w:val="auto"/>
                      <w:sz w:val="21"/>
                      <w:szCs w:val="21"/>
                    </w:rPr>
                    <w:t>取水口下游500米范围内有重要水生生物的自然产卵场、索饵场、越冬场和洄游通道的新增河道取水的污染类建设项目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海洋</w:t>
                  </w:r>
                </w:p>
              </w:tc>
              <w:tc>
                <w:tcPr>
                  <w:tcW w:w="2761" w:type="dxa"/>
                  <w:noWrap w:val="0"/>
                  <w:vAlign w:val="center"/>
                </w:tcPr>
                <w:p>
                  <w:pPr>
                    <w:adjustRightInd w:val="0"/>
                    <w:snapToGrid w:val="0"/>
                    <w:rPr>
                      <w:color w:val="auto"/>
                      <w:sz w:val="21"/>
                      <w:szCs w:val="21"/>
                    </w:rPr>
                  </w:pPr>
                  <w:r>
                    <w:rPr>
                      <w:color w:val="auto"/>
                      <w:sz w:val="21"/>
                      <w:szCs w:val="21"/>
                    </w:rPr>
                    <w:t>直接向海排放污染物的海洋工程建设项目</w:t>
                  </w:r>
                </w:p>
              </w:tc>
              <w:tc>
                <w:tcPr>
                  <w:tcW w:w="2935" w:type="dxa"/>
                  <w:noWrap w:val="0"/>
                  <w:vAlign w:val="center"/>
                </w:tcPr>
                <w:p>
                  <w:pPr>
                    <w:adjustRightInd w:val="0"/>
                    <w:snapToGrid w:val="0"/>
                    <w:jc w:val="center"/>
                    <w:rPr>
                      <w:color w:val="auto"/>
                      <w:sz w:val="21"/>
                      <w:szCs w:val="21"/>
                    </w:rPr>
                  </w:pPr>
                  <w:r>
                    <w:rPr>
                      <w:color w:val="auto"/>
                      <w:sz w:val="21"/>
                      <w:szCs w:val="21"/>
                    </w:rPr>
                    <w:t>本项目不涉及，不开展专项评价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jc w:val="center"/>
              </w:trPr>
              <w:tc>
                <w:tcPr>
                  <w:tcW w:w="1043" w:type="dxa"/>
                  <w:noWrap w:val="0"/>
                  <w:vAlign w:val="center"/>
                </w:tcPr>
                <w:p>
                  <w:pPr>
                    <w:adjustRightInd w:val="0"/>
                    <w:snapToGrid w:val="0"/>
                    <w:jc w:val="center"/>
                    <w:rPr>
                      <w:color w:val="auto"/>
                      <w:sz w:val="21"/>
                      <w:szCs w:val="21"/>
                    </w:rPr>
                  </w:pPr>
                  <w:r>
                    <w:rPr>
                      <w:color w:val="auto"/>
                      <w:sz w:val="21"/>
                      <w:szCs w:val="21"/>
                    </w:rPr>
                    <w:t>地下水</w:t>
                  </w:r>
                </w:p>
              </w:tc>
              <w:tc>
                <w:tcPr>
                  <w:tcW w:w="2761" w:type="dxa"/>
                  <w:noWrap w:val="0"/>
                  <w:vAlign w:val="center"/>
                </w:tcPr>
                <w:p>
                  <w:pPr>
                    <w:adjustRightInd w:val="0"/>
                    <w:snapToGrid w:val="0"/>
                    <w:rPr>
                      <w:color w:val="auto"/>
                      <w:sz w:val="21"/>
                      <w:szCs w:val="21"/>
                    </w:rPr>
                  </w:pPr>
                  <w:r>
                    <w:rPr>
                      <w:color w:val="auto"/>
                      <w:sz w:val="21"/>
                      <w:szCs w:val="21"/>
                    </w:rPr>
                    <w:t>地下水原则上不开展专项评价，涉及集中式饮用水水源和热水、矿泉水、温泉等特殊地下水资源保护区的</w:t>
                  </w:r>
                  <w:r>
                    <w:rPr>
                      <w:rFonts w:hint="eastAsia"/>
                      <w:color w:val="auto"/>
                      <w:sz w:val="21"/>
                      <w:szCs w:val="21"/>
                      <w:lang w:eastAsia="zh-CN"/>
                    </w:rPr>
                    <w:t>，开</w:t>
                  </w:r>
                  <w:r>
                    <w:rPr>
                      <w:color w:val="auto"/>
                      <w:sz w:val="21"/>
                      <w:szCs w:val="21"/>
                    </w:rPr>
                    <w:t>展地下水专项评价工作</w:t>
                  </w:r>
                </w:p>
              </w:tc>
              <w:tc>
                <w:tcPr>
                  <w:tcW w:w="2935" w:type="dxa"/>
                  <w:noWrap w:val="0"/>
                  <w:vAlign w:val="center"/>
                </w:tcPr>
                <w:p>
                  <w:pPr>
                    <w:adjustRightInd w:val="0"/>
                    <w:snapToGrid w:val="0"/>
                    <w:jc w:val="center"/>
                    <w:rPr>
                      <w:color w:val="auto"/>
                      <w:sz w:val="21"/>
                      <w:szCs w:val="21"/>
                    </w:rPr>
                  </w:pPr>
                  <w:r>
                    <w:rPr>
                      <w:color w:val="auto"/>
                      <w:sz w:val="21"/>
                      <w:szCs w:val="21"/>
                    </w:rPr>
                    <w:t>本项目不涉及集中式饮用水水源和热水、矿泉水、温泉等特殊地下水资源保护区，不开展专项评价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jc w:val="center"/>
              </w:trPr>
              <w:tc>
                <w:tcPr>
                  <w:tcW w:w="1043" w:type="dxa"/>
                  <w:noWrap w:val="0"/>
                  <w:vAlign w:val="center"/>
                </w:tcPr>
                <w:p>
                  <w:pPr>
                    <w:adjustRightInd w:val="0"/>
                    <w:snapToGrid w:val="0"/>
                    <w:jc w:val="center"/>
                    <w:rPr>
                      <w:color w:val="auto"/>
                      <w:sz w:val="21"/>
                      <w:szCs w:val="21"/>
                    </w:rPr>
                  </w:pPr>
                  <w:r>
                    <w:rPr>
                      <w:color w:val="auto"/>
                      <w:sz w:val="21"/>
                      <w:szCs w:val="21"/>
                    </w:rPr>
                    <w:t>土壤、噪声</w:t>
                  </w:r>
                </w:p>
              </w:tc>
              <w:tc>
                <w:tcPr>
                  <w:tcW w:w="2761" w:type="dxa"/>
                  <w:noWrap w:val="0"/>
                  <w:vAlign w:val="center"/>
                </w:tcPr>
                <w:p>
                  <w:pPr>
                    <w:adjustRightInd w:val="0"/>
                    <w:snapToGrid w:val="0"/>
                    <w:rPr>
                      <w:color w:val="auto"/>
                      <w:sz w:val="21"/>
                      <w:szCs w:val="21"/>
                    </w:rPr>
                  </w:pPr>
                  <w:r>
                    <w:rPr>
                      <w:color w:val="auto"/>
                      <w:sz w:val="21"/>
                      <w:szCs w:val="21"/>
                    </w:rPr>
                    <w:t>土壤、声环境不开展专项评价</w:t>
                  </w:r>
                </w:p>
              </w:tc>
              <w:tc>
                <w:tcPr>
                  <w:tcW w:w="2935" w:type="dxa"/>
                  <w:noWrap w:val="0"/>
                  <w:vAlign w:val="center"/>
                </w:tcPr>
                <w:p>
                  <w:pPr>
                    <w:adjustRightInd w:val="0"/>
                    <w:snapToGrid w:val="0"/>
                    <w:jc w:val="center"/>
                    <w:rPr>
                      <w:color w:val="auto"/>
                      <w:sz w:val="21"/>
                      <w:szCs w:val="21"/>
                    </w:rPr>
                  </w:pPr>
                  <w:r>
                    <w:rPr>
                      <w:color w:val="auto"/>
                      <w:sz w:val="21"/>
                      <w:szCs w:val="21"/>
                    </w:rPr>
                    <w:t>本项目土壤、声环境不开展专项评价</w:t>
                  </w:r>
                </w:p>
              </w:tc>
              <w:tc>
                <w:tcPr>
                  <w:tcW w:w="854" w:type="dxa"/>
                  <w:noWrap w:val="0"/>
                  <w:vAlign w:val="center"/>
                </w:tcPr>
                <w:p>
                  <w:pPr>
                    <w:adjustRightInd w:val="0"/>
                    <w:snapToGrid w:val="0"/>
                    <w:jc w:val="center"/>
                    <w:rPr>
                      <w:color w:val="auto"/>
                      <w:sz w:val="21"/>
                      <w:szCs w:val="21"/>
                    </w:rPr>
                  </w:pPr>
                  <w:r>
                    <w:rPr>
                      <w:rFonts w:hint="eastAsia"/>
                      <w:color w:val="auto"/>
                      <w:sz w:val="21"/>
                      <w:szCs w:val="21"/>
                    </w:rPr>
                    <w:t>否</w:t>
                  </w:r>
                </w:p>
              </w:tc>
            </w:tr>
          </w:tbl>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color w:val="auto"/>
                <w:szCs w:val="21"/>
              </w:rPr>
              <w:t>注：1.废气中有毒有害污染物指纳入《有毒有害大气污染物名录》的污染物（不包括无排放标准的污染物）</w:t>
            </w:r>
            <w:r>
              <w:rPr>
                <w:rFonts w:hint="eastAsia"/>
                <w:color w:val="auto"/>
                <w:szCs w:val="21"/>
              </w:rPr>
              <w:t>；</w:t>
            </w:r>
            <w:r>
              <w:rPr>
                <w:color w:val="auto"/>
                <w:szCs w:val="21"/>
              </w:rPr>
              <w:t>2.环境空气保护目标指自然保护区、风景名胜区、居住区、文化区和农村地区中人群较集中的区域</w:t>
            </w:r>
            <w:r>
              <w:rPr>
                <w:rFonts w:hint="eastAsia"/>
                <w:color w:val="auto"/>
                <w:szCs w:val="21"/>
              </w:rPr>
              <w:t>；</w:t>
            </w:r>
            <w:r>
              <w:rPr>
                <w:color w:val="auto"/>
                <w:szCs w:val="21"/>
              </w:rPr>
              <w:t>3.临界量及其计算方法可参考《建设项目环境风险评价技术导则》（HJ 169）附录B、附录C。</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521"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16" w:hRule="atLeast"/>
          <w:jc w:val="center"/>
        </w:trPr>
        <w:tc>
          <w:tcPr>
            <w:tcW w:w="1829"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规划环境影响</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sz w:val="24"/>
                <w:szCs w:val="24"/>
              </w:rPr>
              <w:t>评价情况</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086"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规划及规划环境影响评价符合性分析</w:t>
            </w:r>
          </w:p>
        </w:tc>
        <w:tc>
          <w:tcPr>
            <w:tcW w:w="7809" w:type="dxa"/>
            <w:gridSpan w:val="3"/>
            <w:noWrap w:val="0"/>
            <w:vAlign w:val="center"/>
          </w:tcPr>
          <w:p>
            <w:pPr>
              <w:autoSpaceDE w:val="0"/>
              <w:autoSpaceDN w:val="0"/>
              <w:adjustRightInd w:val="0"/>
              <w:snapToGrid w:val="0"/>
              <w:jc w:val="center"/>
              <w:rPr>
                <w:rFonts w:hint="default" w:ascii="Times New Roman" w:hAnsi="Times New Roman" w:eastAsia="宋体"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3338" w:hRule="atLeast"/>
          <w:jc w:val="center"/>
        </w:trPr>
        <w:tc>
          <w:tcPr>
            <w:tcW w:w="1829" w:type="dxa"/>
            <w:noWrap w:val="0"/>
            <w:vAlign w:val="center"/>
          </w:tcPr>
          <w:p>
            <w:pPr>
              <w:autoSpaceDE w:val="0"/>
              <w:autoSpaceDN w:val="0"/>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其他符合性分析</w:t>
            </w:r>
          </w:p>
        </w:tc>
        <w:tc>
          <w:tcPr>
            <w:tcW w:w="7809" w:type="dxa"/>
            <w:gridSpan w:val="3"/>
            <w:noWrap w:val="0"/>
            <w:vAlign w:val="top"/>
          </w:tcPr>
          <w:p>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w:t>
            </w:r>
            <w:r>
              <w:rPr>
                <w:rFonts w:hint="eastAsia" w:cs="Times New Roman"/>
                <w:color w:val="auto"/>
                <w:kern w:val="0"/>
                <w:sz w:val="24"/>
                <w:szCs w:val="24"/>
                <w:highlight w:val="none"/>
                <w:lang w:val="en-US" w:eastAsia="zh-CN"/>
              </w:rPr>
              <w:t>.与生态环境分区管控</w:t>
            </w:r>
            <w:r>
              <w:rPr>
                <w:rFonts w:hint="default" w:ascii="Times New Roman" w:hAnsi="Times New Roman" w:cs="Times New Roman"/>
                <w:color w:val="auto"/>
                <w:kern w:val="0"/>
                <w:sz w:val="24"/>
                <w:szCs w:val="24"/>
                <w:highlight w:val="none"/>
                <w:lang w:val="en-US" w:eastAsia="zh-CN"/>
              </w:rPr>
              <w:t>符合性分析：</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color w:val="auto"/>
                <w:kern w:val="0"/>
                <w:sz w:val="24"/>
                <w:szCs w:val="21"/>
              </w:rPr>
              <w:t>（1）生态保护红线符合性</w:t>
            </w:r>
            <w:r>
              <w:rPr>
                <w:rFonts w:hint="default" w:ascii="Times New Roman" w:hAnsi="Times New Roman" w:cs="Times New Roman"/>
                <w:color w:val="auto"/>
                <w:kern w:val="0"/>
                <w:sz w:val="24"/>
                <w:szCs w:val="24"/>
                <w:highlight w:val="none"/>
              </w:rPr>
              <w:t>：</w:t>
            </w:r>
          </w:p>
          <w:p>
            <w:pPr>
              <w:autoSpaceDE w:val="0"/>
              <w:autoSpaceDN w:val="0"/>
              <w:adjustRightInd w:val="0"/>
              <w:snapToGrid w:val="0"/>
              <w:spacing w:line="360" w:lineRule="auto"/>
              <w:ind w:firstLine="480" w:firstLineChars="200"/>
              <w:jc w:val="left"/>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本项目厂址所在区域不属于生态保护红线范围内。</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（2）环境质量底线符合性</w:t>
            </w:r>
          </w:p>
          <w:p>
            <w:pPr>
              <w:autoSpaceDE w:val="0"/>
              <w:autoSpaceDN w:val="0"/>
              <w:adjustRightInd w:val="0"/>
              <w:snapToGrid w:val="0"/>
              <w:spacing w:line="360" w:lineRule="auto"/>
              <w:ind w:firstLine="480" w:firstLineChars="200"/>
              <w:jc w:val="left"/>
              <w:rPr>
                <w:rFonts w:hint="default" w:ascii="Times New Roman" w:hAnsi="Times New Roman" w:eastAsia="宋体" w:cs="Times New Roman"/>
                <w:color w:val="auto"/>
                <w:kern w:val="0"/>
                <w:sz w:val="24"/>
                <w:szCs w:val="21"/>
              </w:rPr>
            </w:pPr>
            <w:r>
              <w:rPr>
                <w:rFonts w:hint="default" w:ascii="Times New Roman" w:hAnsi="Times New Roman" w:eastAsia="宋体" w:cs="Times New Roman"/>
                <w:color w:val="auto"/>
                <w:kern w:val="0"/>
                <w:sz w:val="24"/>
                <w:szCs w:val="21"/>
              </w:rPr>
              <w:t>项目投产后</w:t>
            </w:r>
            <w:r>
              <w:rPr>
                <w:rFonts w:hint="default" w:ascii="Times New Roman" w:hAnsi="Times New Roman" w:eastAsia="宋体" w:cs="Times New Roman"/>
                <w:color w:val="auto"/>
                <w:kern w:val="0"/>
                <w:sz w:val="24"/>
                <w:szCs w:val="21"/>
                <w:lang w:eastAsia="zh-CN"/>
              </w:rPr>
              <w:t>产生的</w:t>
            </w:r>
            <w:r>
              <w:rPr>
                <w:rFonts w:hint="eastAsia" w:ascii="Times New Roman" w:hAnsi="Times New Roman" w:eastAsia="宋体" w:cs="Times New Roman"/>
                <w:color w:val="auto"/>
                <w:kern w:val="0"/>
                <w:sz w:val="24"/>
                <w:szCs w:val="21"/>
                <w:lang w:val="en-US" w:eastAsia="zh-CN"/>
              </w:rPr>
              <w:t>废气</w:t>
            </w:r>
            <w:r>
              <w:rPr>
                <w:rFonts w:hint="default" w:ascii="Times New Roman" w:hAnsi="Times New Roman" w:eastAsia="宋体" w:cs="Times New Roman"/>
                <w:color w:val="auto"/>
                <w:kern w:val="0"/>
                <w:sz w:val="24"/>
                <w:szCs w:val="21"/>
                <w:lang w:eastAsia="zh-CN"/>
              </w:rPr>
              <w:t>污染物</w:t>
            </w:r>
            <w:r>
              <w:rPr>
                <w:rFonts w:hint="default" w:ascii="Times New Roman" w:hAnsi="Times New Roman" w:eastAsia="宋体" w:cs="Times New Roman"/>
                <w:color w:val="auto"/>
                <w:kern w:val="0"/>
                <w:sz w:val="24"/>
                <w:szCs w:val="21"/>
              </w:rPr>
              <w:t>经</w:t>
            </w:r>
            <w:r>
              <w:rPr>
                <w:rFonts w:hint="eastAsia" w:ascii="Times New Roman" w:hAnsi="Times New Roman" w:eastAsia="宋体" w:cs="Times New Roman"/>
                <w:color w:val="auto"/>
                <w:kern w:val="0"/>
                <w:sz w:val="24"/>
                <w:szCs w:val="21"/>
                <w:lang w:val="en-US" w:eastAsia="zh-CN"/>
              </w:rPr>
              <w:t>相应</w:t>
            </w:r>
            <w:r>
              <w:rPr>
                <w:rFonts w:hint="default" w:ascii="Times New Roman" w:hAnsi="Times New Roman" w:eastAsia="宋体" w:cs="Times New Roman"/>
                <w:color w:val="auto"/>
                <w:kern w:val="0"/>
                <w:sz w:val="24"/>
                <w:szCs w:val="21"/>
                <w:lang w:eastAsia="zh-CN"/>
              </w:rPr>
              <w:t>措施</w:t>
            </w:r>
            <w:r>
              <w:rPr>
                <w:rFonts w:hint="default" w:ascii="Times New Roman" w:hAnsi="Times New Roman" w:eastAsia="宋体" w:cs="Times New Roman"/>
                <w:color w:val="auto"/>
                <w:kern w:val="0"/>
                <w:sz w:val="24"/>
                <w:szCs w:val="21"/>
              </w:rPr>
              <w:t>处理后均能满足相应的污染物排放标准。本项目</w:t>
            </w:r>
            <w:r>
              <w:rPr>
                <w:rFonts w:hint="default" w:ascii="Times New Roman" w:hAnsi="Times New Roman" w:eastAsia="宋体" w:cs="Times New Roman"/>
                <w:color w:val="auto"/>
                <w:kern w:val="0"/>
                <w:sz w:val="24"/>
                <w:szCs w:val="21"/>
                <w:lang w:eastAsia="zh-CN"/>
              </w:rPr>
              <w:t>废水</w:t>
            </w:r>
            <w:r>
              <w:rPr>
                <w:rFonts w:hint="eastAsia" w:cs="Times New Roman"/>
                <w:color w:val="auto"/>
                <w:kern w:val="0"/>
                <w:sz w:val="24"/>
                <w:szCs w:val="21"/>
                <w:lang w:val="en-US" w:eastAsia="zh-CN"/>
              </w:rPr>
              <w:t>不外排</w:t>
            </w:r>
            <w:r>
              <w:rPr>
                <w:rFonts w:hint="eastAsia" w:ascii="Times New Roman" w:hAnsi="Times New Roman" w:eastAsia="宋体" w:cs="Times New Roman"/>
                <w:color w:val="auto"/>
                <w:kern w:val="0"/>
                <w:sz w:val="24"/>
                <w:szCs w:val="21"/>
                <w:lang w:val="en-US" w:eastAsia="zh-CN"/>
              </w:rPr>
              <w:t>，</w:t>
            </w:r>
            <w:r>
              <w:rPr>
                <w:rFonts w:hint="default" w:ascii="Times New Roman" w:hAnsi="Times New Roman" w:eastAsia="宋体" w:cs="Times New Roman"/>
                <w:color w:val="auto"/>
                <w:kern w:val="0"/>
                <w:sz w:val="24"/>
                <w:szCs w:val="21"/>
              </w:rPr>
              <w:t>对周围环境影响不大。厂界噪声满足《工业企业厂界环境噪声排放标准》（GB12348-2008）</w:t>
            </w:r>
            <w:r>
              <w:rPr>
                <w:rFonts w:hint="eastAsia" w:cs="Times New Roman"/>
                <w:color w:val="auto"/>
                <w:kern w:val="0"/>
                <w:sz w:val="24"/>
                <w:szCs w:val="21"/>
                <w:lang w:val="en-US" w:eastAsia="zh-CN"/>
              </w:rPr>
              <w:t>中2类</w:t>
            </w:r>
            <w:r>
              <w:rPr>
                <w:rFonts w:hint="default" w:ascii="Times New Roman" w:hAnsi="Times New Roman" w:eastAsia="宋体" w:cs="Times New Roman"/>
                <w:color w:val="auto"/>
                <w:kern w:val="0"/>
                <w:sz w:val="24"/>
                <w:szCs w:val="21"/>
              </w:rPr>
              <w:t>标准要求；本项目产生的固体废物通过相应的处理措施后，处理效率可达到100%，实现了固体废物处理的无害化，减量化及资源化的目标。经预测，本项目运营期所排放的污染物经各类污染防治措施处理后，均能达标排放，符合环境质量底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（3）资源利用</w:t>
            </w:r>
            <w:r>
              <w:rPr>
                <w:rFonts w:hint="eastAsia"/>
                <w:color w:val="auto"/>
                <w:kern w:val="0"/>
                <w:sz w:val="24"/>
                <w:szCs w:val="21"/>
              </w:rPr>
              <w:t>上线</w:t>
            </w:r>
            <w:r>
              <w:rPr>
                <w:color w:val="auto"/>
                <w:kern w:val="0"/>
                <w:sz w:val="24"/>
                <w:szCs w:val="21"/>
              </w:rPr>
              <w:t>符合性</w:t>
            </w:r>
          </w:p>
          <w:p>
            <w:pPr>
              <w:autoSpaceDE w:val="0"/>
              <w:autoSpaceDN w:val="0"/>
              <w:adjustRightInd w:val="0"/>
              <w:snapToGrid w:val="0"/>
              <w:spacing w:line="360" w:lineRule="auto"/>
              <w:ind w:firstLine="480" w:firstLineChars="200"/>
              <w:jc w:val="left"/>
              <w:rPr>
                <w:rFonts w:hint="default" w:eastAsia="宋体"/>
                <w:color w:val="auto"/>
                <w:kern w:val="0"/>
                <w:sz w:val="24"/>
                <w:szCs w:val="21"/>
                <w:lang w:val="en-US" w:eastAsia="zh-CN"/>
              </w:rPr>
            </w:pPr>
            <w:r>
              <w:rPr>
                <w:rFonts w:hint="eastAsia"/>
                <w:color w:val="auto"/>
                <w:kern w:val="0"/>
                <w:sz w:val="24"/>
                <w:szCs w:val="21"/>
                <w:lang w:val="en-US" w:eastAsia="zh-CN"/>
              </w:rPr>
              <w:t>本项目建成后用水量较小，不属于高耗水项目，燃料选用生物质燃料，不新增煤炭资源消耗，本项目不占用耕地，占地性质为设施农用地，符合资源利用上线要求。</w:t>
            </w:r>
          </w:p>
          <w:p>
            <w:pPr>
              <w:autoSpaceDE w:val="0"/>
              <w:autoSpaceDN w:val="0"/>
              <w:adjustRightInd w:val="0"/>
              <w:snapToGrid w:val="0"/>
              <w:spacing w:line="360" w:lineRule="auto"/>
              <w:ind w:firstLine="480" w:firstLineChars="200"/>
              <w:jc w:val="left"/>
              <w:rPr>
                <w:color w:val="auto"/>
                <w:kern w:val="0"/>
                <w:sz w:val="24"/>
                <w:szCs w:val="21"/>
              </w:rPr>
            </w:pPr>
            <w:r>
              <w:rPr>
                <w:color w:val="auto"/>
                <w:kern w:val="0"/>
                <w:sz w:val="24"/>
                <w:szCs w:val="21"/>
              </w:rPr>
              <w:t>（4）环境准入负面清单符合性</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根据《黑龙江省生态环境分区管控应用技术指南环境影响评价》中相关规定：“环评文件涉及“三线一单</w:t>
            </w:r>
            <w:r>
              <w:rPr>
                <w:rFonts w:hint="eastAsia" w:cs="Times New Roman"/>
                <w:color w:val="auto"/>
                <w:sz w:val="24"/>
                <w:lang w:val="en-US" w:eastAsia="zh-CN"/>
              </w:rPr>
              <w:t>·</w:t>
            </w:r>
            <w:r>
              <w:rPr>
                <w:rFonts w:hint="eastAsia" w:ascii="Times New Roman" w:hAnsi="Times New Roman" w:eastAsia="宋体" w:cs="Times New Roman"/>
                <w:color w:val="auto"/>
                <w:sz w:val="24"/>
              </w:rPr>
              <w:t>生态环境分区管控符合性分析采取“一图一表一说明”的表达方式</w:t>
            </w:r>
            <w:r>
              <w:rPr>
                <w:rFonts w:hint="eastAsia" w:cs="Times New Roman"/>
                <w:color w:val="auto"/>
                <w:sz w:val="24"/>
                <w:lang w:eastAsia="zh-CN"/>
              </w:rPr>
              <w:t>。”</w:t>
            </w:r>
            <w:r>
              <w:rPr>
                <w:rFonts w:hint="eastAsia" w:ascii="Times New Roman" w:hAnsi="Times New Roman" w:eastAsia="宋体" w:cs="Times New Roman"/>
                <w:color w:val="auto"/>
                <w:sz w:val="24"/>
              </w:rPr>
              <w:t>本项目具体分析如下：</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①一图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rPr>
            </w:pPr>
            <w:r>
              <w:rPr>
                <w:rFonts w:hint="eastAsia" w:ascii="Times New Roman" w:hAnsi="Times New Roman" w:eastAsia="宋体" w:cs="Times New Roman"/>
                <w:color w:val="auto"/>
                <w:sz w:val="24"/>
              </w:rPr>
              <w:t>根据本项目“生态环境分区管控分析报告”，本项目与环境管控单元叠加图如下：</w:t>
            </w:r>
          </w:p>
          <w:p>
            <w:pPr>
              <w:autoSpaceDE w:val="0"/>
              <w:autoSpaceDN w:val="0"/>
              <w:adjustRightInd w:val="0"/>
              <w:snapToGrid w:val="0"/>
              <w:spacing w:line="360" w:lineRule="auto"/>
              <w:jc w:val="center"/>
              <w:rPr>
                <w:color w:val="auto"/>
              </w:rPr>
            </w:pPr>
            <w:r>
              <w:rPr>
                <w:color w:val="auto"/>
              </w:rPr>
              <w:drawing>
                <wp:inline distT="0" distB="0" distL="114300" distR="114300">
                  <wp:extent cx="4214495" cy="2310130"/>
                  <wp:effectExtent l="0" t="0" r="14605" b="13970"/>
                  <wp:docPr id="15"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1"/>
                          <pic:cNvPicPr>
                            <a:picLocks noChangeAspect="1"/>
                          </pic:cNvPicPr>
                        </pic:nvPicPr>
                        <pic:blipFill>
                          <a:blip r:embed="rId10"/>
                          <a:stretch>
                            <a:fillRect/>
                          </a:stretch>
                        </pic:blipFill>
                        <pic:spPr>
                          <a:xfrm>
                            <a:off x="0" y="0"/>
                            <a:ext cx="4214495" cy="2310130"/>
                          </a:xfrm>
                          <a:prstGeom prst="rect">
                            <a:avLst/>
                          </a:prstGeom>
                          <a:noFill/>
                          <a:ln>
                            <a:noFill/>
                          </a:ln>
                        </pic:spPr>
                      </pic:pic>
                    </a:graphicData>
                  </a:graphic>
                </wp:inline>
              </w:drawing>
            </w:r>
          </w:p>
          <w:p>
            <w:pPr>
              <w:autoSpaceDE w:val="0"/>
              <w:autoSpaceDN w:val="0"/>
              <w:adjustRightInd w:val="0"/>
              <w:snapToGrid w:val="0"/>
              <w:spacing w:line="360" w:lineRule="auto"/>
              <w:ind w:firstLine="482" w:firstLineChars="200"/>
              <w:jc w:val="center"/>
              <w:rPr>
                <w:rFonts w:hint="default" w:eastAsia="宋体"/>
                <w:b/>
                <w:bCs/>
                <w:color w:val="auto"/>
                <w:sz w:val="24"/>
                <w:szCs w:val="32"/>
                <w:lang w:val="en-US" w:eastAsia="zh-CN"/>
              </w:rPr>
            </w:pPr>
            <w:r>
              <w:rPr>
                <w:rFonts w:hint="eastAsia"/>
                <w:b/>
                <w:bCs/>
                <w:color w:val="auto"/>
                <w:sz w:val="24"/>
                <w:szCs w:val="32"/>
                <w:lang w:val="en-US" w:eastAsia="zh-CN"/>
              </w:rPr>
              <w:t>图1-1 与环境管控单元位置叠加图</w:t>
            </w:r>
          </w:p>
          <w:p>
            <w:pPr>
              <w:autoSpaceDE w:val="0"/>
              <w:autoSpaceDN w:val="0"/>
              <w:adjustRightInd w:val="0"/>
              <w:snapToGrid w:val="0"/>
              <w:spacing w:line="360" w:lineRule="auto"/>
              <w:ind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②</w:t>
            </w:r>
            <w:r>
              <w:rPr>
                <w:rFonts w:hint="eastAsia" w:ascii="Times New Roman" w:hAnsi="Times New Roman" w:eastAsia="宋体" w:cs="Times New Roman"/>
                <w:color w:val="auto"/>
                <w:sz w:val="24"/>
              </w:rPr>
              <w:t>一</w:t>
            </w:r>
            <w:r>
              <w:rPr>
                <w:rFonts w:hint="eastAsia" w:ascii="Times New Roman" w:hAnsi="Times New Roman" w:eastAsia="宋体" w:cs="Times New Roman"/>
                <w:color w:val="auto"/>
                <w:sz w:val="24"/>
                <w:lang w:val="en-US" w:eastAsia="zh-CN"/>
              </w:rPr>
              <w:t>表</w:t>
            </w:r>
          </w:p>
          <w:p>
            <w:pPr>
              <w:autoSpaceDE w:val="0"/>
              <w:autoSpaceDN w:val="0"/>
              <w:adjustRightInd w:val="0"/>
              <w:snapToGrid w:val="0"/>
              <w:jc w:val="center"/>
              <w:rPr>
                <w:b/>
                <w:bCs/>
                <w:color w:val="auto"/>
                <w:sz w:val="21"/>
                <w:szCs w:val="21"/>
              </w:rPr>
            </w:pPr>
            <w:r>
              <w:rPr>
                <w:b/>
                <w:bCs/>
                <w:color w:val="auto"/>
                <w:sz w:val="21"/>
                <w:szCs w:val="21"/>
              </w:rPr>
              <w:t>表1</w:t>
            </w:r>
            <w:r>
              <w:rPr>
                <w:rFonts w:hint="eastAsia"/>
                <w:b/>
                <w:bCs/>
                <w:color w:val="auto"/>
                <w:sz w:val="21"/>
                <w:szCs w:val="21"/>
              </w:rPr>
              <w:t>-</w:t>
            </w:r>
            <w:r>
              <w:rPr>
                <w:rFonts w:hint="eastAsia"/>
                <w:b/>
                <w:bCs/>
                <w:color w:val="auto"/>
                <w:sz w:val="21"/>
                <w:szCs w:val="21"/>
                <w:lang w:val="en-US" w:eastAsia="zh-CN"/>
              </w:rPr>
              <w:t xml:space="preserve">2 </w:t>
            </w:r>
            <w:r>
              <w:rPr>
                <w:rFonts w:hint="eastAsia"/>
                <w:b/>
                <w:bCs/>
                <w:color w:val="auto"/>
                <w:sz w:val="21"/>
                <w:szCs w:val="21"/>
              </w:rPr>
              <w:t>伊春市嘉荫县</w:t>
            </w:r>
            <w:r>
              <w:rPr>
                <w:b/>
                <w:bCs/>
                <w:color w:val="auto"/>
                <w:sz w:val="21"/>
                <w:szCs w:val="21"/>
              </w:rPr>
              <w:t>生态环境准入清单符合性分析</w:t>
            </w:r>
          </w:p>
          <w:tbl>
            <w:tblPr>
              <w:tblStyle w:val="30"/>
              <w:tblW w:w="7593" w:type="dxa"/>
              <w:tblInd w:w="0"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1084"/>
              <w:gridCol w:w="864"/>
              <w:gridCol w:w="667"/>
              <w:gridCol w:w="667"/>
              <w:gridCol w:w="2337"/>
              <w:gridCol w:w="197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环境管控单元编码</w:t>
                  </w:r>
                </w:p>
              </w:tc>
              <w:tc>
                <w:tcPr>
                  <w:tcW w:w="86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环境管控</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单元名称</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元类别</w:t>
                  </w:r>
                </w:p>
              </w:tc>
              <w:tc>
                <w:tcPr>
                  <w:tcW w:w="3004" w:type="dxa"/>
                  <w:gridSpan w:val="2"/>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管控要求</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符合性分析</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Times New Roman" w:hAnsi="Times New Roman" w:eastAsia="宋体" w:cs="Times New Roman"/>
                      <w:color w:val="auto"/>
                      <w:kern w:val="0"/>
                      <w:sz w:val="22"/>
                      <w:szCs w:val="22"/>
                      <w:lang w:val="en-US" w:eastAsia="zh-CN" w:bidi="ar"/>
                    </w:rPr>
                    <w:t>ZH23072230002</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eastAsia="宋体"/>
                      <w:color w:val="auto"/>
                      <w:sz w:val="21"/>
                      <w:szCs w:val="21"/>
                      <w:lang w:val="en-US" w:eastAsia="zh-CN"/>
                    </w:rPr>
                  </w:pPr>
                </w:p>
              </w:tc>
              <w:tc>
                <w:tcPr>
                  <w:tcW w:w="864" w:type="dxa"/>
                  <w:noWrap w:val="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color w:val="auto"/>
                    </w:rPr>
                  </w:pPr>
                  <w:r>
                    <w:rPr>
                      <w:rFonts w:hint="default" w:ascii="PingFangSC-Light" w:hAnsi="PingFangSC-Light" w:eastAsia="PingFangSC-Light" w:cs="PingFangSC-Light"/>
                      <w:color w:val="auto"/>
                      <w:kern w:val="0"/>
                      <w:sz w:val="22"/>
                      <w:szCs w:val="22"/>
                      <w:lang w:val="en-US" w:eastAsia="zh-CN" w:bidi="ar"/>
                    </w:rPr>
                    <w:t>嘉荫县其</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default" w:ascii="PingFangSC-Light" w:hAnsi="PingFangSC-Light" w:eastAsia="PingFangSC-Light" w:cs="PingFangSC-Light"/>
                      <w:color w:val="auto"/>
                      <w:kern w:val="0"/>
                      <w:sz w:val="22"/>
                      <w:szCs w:val="22"/>
                      <w:lang w:val="en-US" w:eastAsia="zh-CN" w:bidi="ar"/>
                    </w:rPr>
                    <w:t>他区域</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一般管控单元</w:t>
                  </w:r>
                </w:p>
              </w:tc>
              <w:tc>
                <w:tcPr>
                  <w:tcW w:w="667"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空间布局约束</w:t>
                  </w:r>
                </w:p>
              </w:tc>
              <w:tc>
                <w:tcPr>
                  <w:tcW w:w="2337" w:type="dxa"/>
                  <w:noWrap w:val="0"/>
                  <w:vAlign w:val="center"/>
                </w:tcPr>
                <w:p>
                  <w:pPr>
                    <w:jc w:val="center"/>
                    <w:rPr>
                      <w:rFonts w:hint="eastAsia" w:ascii="Times New Roman" w:hAnsi="Times New Roman" w:eastAsia="Times New Roman" w:cs="Times New Roman"/>
                      <w:color w:val="auto"/>
                      <w:kern w:val="2"/>
                      <w:sz w:val="21"/>
                      <w:szCs w:val="21"/>
                      <w:lang w:val="en-US" w:eastAsia="zh-CN" w:bidi="ar-SA"/>
                    </w:rPr>
                  </w:pPr>
                  <w:r>
                    <w:rPr>
                      <w:rFonts w:hint="eastAsia" w:ascii="Times New Roman" w:hAnsi="Times New Roman" w:eastAsia="Times New Roman" w:cs="Times New Roman"/>
                      <w:color w:val="auto"/>
                      <w:kern w:val="2"/>
                      <w:sz w:val="21"/>
                      <w:szCs w:val="21"/>
                      <w:lang w:val="en-US" w:eastAsia="zh-CN" w:bidi="ar-SA"/>
                    </w:rPr>
                    <w:t>1.引导工业项目向开发区集中，促进产业集聚、资源集约、绿色发展。</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eastAsia="Times New Roman" w:cs="Times New Roman"/>
                      <w:color w:val="auto"/>
                      <w:kern w:val="2"/>
                      <w:sz w:val="21"/>
                      <w:szCs w:val="21"/>
                      <w:lang w:val="en-US" w:eastAsia="zh-CN" w:bidi="ar-SA"/>
                    </w:rPr>
                    <w:t>2.强化节能环保标准约束，严格行业规范、准入管理和节能审查，对电力、钢铁、建材、有色、化工、石油石化、船舶、煤炭、印染、造纸、制革、染料、焦化、电镀等行业中，环保、能耗、安全等不达标或生产、使用淘汰类产品的企业和产能，要依法依规有序退出。</w:t>
                  </w:r>
                </w:p>
              </w:tc>
              <w:tc>
                <w:tcPr>
                  <w:tcW w:w="1974" w:type="dxa"/>
                  <w:noWrap w:val="0"/>
                  <w:vAlign w:val="center"/>
                </w:tcPr>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default" w:ascii="Times New Roman" w:hAnsi="Times New Roman"/>
                      <w:color w:val="auto"/>
                      <w:sz w:val="21"/>
                      <w:szCs w:val="21"/>
                    </w:rPr>
                  </w:pPr>
                  <w:r>
                    <w:rPr>
                      <w:rFonts w:hint="eastAsia" w:ascii="Times New Roman" w:hAnsi="Times New Roman"/>
                      <w:color w:val="auto"/>
                      <w:sz w:val="21"/>
                      <w:szCs w:val="21"/>
                    </w:rPr>
                    <w:t>1</w:t>
                  </w:r>
                  <w:r>
                    <w:rPr>
                      <w:rFonts w:hint="default" w:ascii="Times New Roman" w:hAnsi="Times New Roman"/>
                      <w:color w:val="auto"/>
                      <w:sz w:val="21"/>
                      <w:szCs w:val="21"/>
                    </w:rPr>
                    <w:t>.</w:t>
                  </w:r>
                  <w:r>
                    <w:rPr>
                      <w:rFonts w:hint="eastAsia" w:eastAsia="宋体"/>
                      <w:color w:val="auto"/>
                      <w:sz w:val="21"/>
                      <w:szCs w:val="21"/>
                      <w:lang w:val="en-US" w:eastAsia="zh-CN"/>
                    </w:rPr>
                    <w:t>本项目主体为农产品初加工项目，</w:t>
                  </w:r>
                  <w:r>
                    <w:rPr>
                      <w:rFonts w:hint="eastAsia" w:ascii="Times New Roman" w:hAnsi="Times New Roman"/>
                      <w:color w:val="auto"/>
                      <w:sz w:val="21"/>
                      <w:szCs w:val="21"/>
                    </w:rPr>
                    <w:t>本项目在采取各项保护措施后，污染物排放能够达到相应的排放标准；本项目符合产业政策，为</w:t>
                  </w:r>
                  <w:r>
                    <w:rPr>
                      <w:rFonts w:hint="eastAsia"/>
                      <w:color w:val="auto"/>
                      <w:sz w:val="21"/>
                      <w:szCs w:val="21"/>
                      <w:lang w:val="en-US" w:eastAsia="zh-CN"/>
                    </w:rPr>
                    <w:t>鼓励</w:t>
                  </w:r>
                  <w:r>
                    <w:rPr>
                      <w:rFonts w:hint="eastAsia" w:ascii="Times New Roman" w:hAnsi="Times New Roman"/>
                      <w:color w:val="auto"/>
                      <w:sz w:val="21"/>
                      <w:szCs w:val="21"/>
                    </w:rPr>
                    <w:t>类项目。</w:t>
                  </w:r>
                </w:p>
                <w:p>
                  <w:pPr>
                    <w:pStyle w:val="48"/>
                    <w:keepNext w:val="0"/>
                    <w:keepLines w:val="0"/>
                    <w:suppressLineNumbers w:val="0"/>
                    <w:spacing w:before="0" w:beforeAutospacing="0" w:after="0" w:afterAutospacing="0" w:line="276" w:lineRule="auto"/>
                    <w:ind w:left="0" w:right="0" w:firstLine="0" w:firstLineChars="0"/>
                    <w:jc w:val="center"/>
                    <w:textAlignment w:val="center"/>
                    <w:rPr>
                      <w:rFonts w:hint="eastAsia" w:ascii="Times New Roman" w:hAnsi="Times New Roman"/>
                      <w:color w:val="auto"/>
                      <w:sz w:val="21"/>
                      <w:szCs w:val="21"/>
                    </w:rPr>
                  </w:pPr>
                  <w:r>
                    <w:rPr>
                      <w:rFonts w:hint="eastAsia" w:ascii="Times New Roman" w:hAnsi="Times New Roman"/>
                      <w:color w:val="auto"/>
                      <w:sz w:val="21"/>
                      <w:szCs w:val="21"/>
                    </w:rPr>
                    <w:t>2</w:t>
                  </w:r>
                  <w:r>
                    <w:rPr>
                      <w:rFonts w:hint="default" w:ascii="Times New Roman" w:hAnsi="Times New Roman"/>
                      <w:color w:val="auto"/>
                      <w:sz w:val="21"/>
                      <w:szCs w:val="21"/>
                    </w:rPr>
                    <w:t>.</w:t>
                  </w:r>
                  <w:r>
                    <w:rPr>
                      <w:rFonts w:hint="eastAsia" w:ascii="Times New Roman" w:hAnsi="Times New Roman"/>
                      <w:color w:val="auto"/>
                      <w:sz w:val="21"/>
                      <w:szCs w:val="21"/>
                    </w:rPr>
                    <w:t>本项目不属于电力、钢铁、建材、有色、化工、石油石化、船舶、煤炭、印染、造纸、制革、染料、焦化、电镀等行业。</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760" w:hRule="atLeast"/>
              </w:trPr>
              <w:tc>
                <w:tcPr>
                  <w:tcW w:w="1084" w:type="dxa"/>
                  <w:noWrap w:val="0"/>
                  <w:vAlign w:val="center"/>
                </w:tcPr>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YS2307226310001</w:t>
                  </w:r>
                </w:p>
              </w:tc>
              <w:tc>
                <w:tcPr>
                  <w:tcW w:w="864" w:type="dxa"/>
                  <w:noWrap w:val="0"/>
                  <w:vAlign w:val="center"/>
                </w:tcPr>
                <w:p>
                  <w:pPr>
                    <w:pStyle w:val="85"/>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嘉荫县地下水环境一</w:t>
                  </w:r>
                </w:p>
                <w:p>
                  <w:pPr>
                    <w:pStyle w:val="85"/>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一般管控区</w:t>
                  </w:r>
                </w:p>
              </w:tc>
              <w:tc>
                <w:tcPr>
                  <w:tcW w:w="667" w:type="dxa"/>
                  <w:noWrap w:val="0"/>
                  <w:vAlign w:val="center"/>
                </w:tcPr>
                <w:p>
                  <w:pPr>
                    <w:pStyle w:val="85"/>
                    <w:keepNext w:val="0"/>
                    <w:keepLines w:val="0"/>
                    <w:suppressLineNumbers w:val="0"/>
                    <w:adjustRightInd w:val="0"/>
                    <w:snapToGrid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环境风险管控</w:t>
                  </w:r>
                </w:p>
              </w:tc>
              <w:tc>
                <w:tcPr>
                  <w:tcW w:w="2337" w:type="dxa"/>
                  <w:noWrap w:val="0"/>
                  <w:vAlign w:val="center"/>
                </w:tcPr>
                <w:p>
                  <w:pPr>
                    <w:keepNext w:val="0"/>
                    <w:keepLines w:val="0"/>
                    <w:suppressLineNumbers w:val="0"/>
                    <w:spacing w:before="0" w:beforeAutospacing="0" w:after="0" w:afterAutospacing="0"/>
                    <w:ind w:left="0" w:right="0"/>
                    <w:jc w:val="center"/>
                    <w:rPr>
                      <w:rFonts w:hint="eastAsia" w:ascii="Times New Roman" w:hAnsi="Times New Roman" w:eastAsia="宋体"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val="none" w:color="auto"/>
                      <w:lang w:val="en-US" w:eastAsia="zh-CN" w:bidi="ar-SA"/>
                    </w:rPr>
                    <w:t>1.土壤污染重点监管单位应当履行下列义务：（一）严格控</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Times New Roman" w:cs="Times New Roman"/>
                      <w:color w:val="auto"/>
                      <w:sz w:val="21"/>
                      <w:szCs w:val="21"/>
                    </w:rPr>
                  </w:pPr>
                  <w:r>
                    <w:rPr>
                      <w:rFonts w:hint="eastAsia" w:ascii="Times New Roman" w:hAnsi="Times New Roman" w:eastAsia="宋体" w:cs="Times New Roman"/>
                      <w:snapToGrid w:val="0"/>
                      <w:color w:val="auto"/>
                      <w:kern w:val="0"/>
                      <w:sz w:val="21"/>
                      <w:szCs w:val="21"/>
                      <w:u w:val="none" w:color="auto"/>
                      <w:lang w:val="en-US" w:eastAsia="zh-CN" w:bidi="ar-SA"/>
                    </w:rPr>
                    <w:t>制有毒有害物质排放，并按年度向生态环境主管部门报告排放情况；（二）建立土壤污染隐患排查制度，保证持续有效防止有毒有害物质渗漏、流失、扬散；（三）制定、实施自行监测方案，并将监测数据报生态环境主管部门。 2.重点单位新、改、扩建项目地下储罐储存有毒有害物质的，应当在项目投入生产或者使用之前，将地下储罐的信息报所在地设区的市级生态环境主管部门备案。 3.重点单位应当建立土壤和地下水污染隐患排查治理制度，定期对重点区域、重点设施开展隐患排查。发现污染隐患的，应当制定整改方案，及时采取技术、管理措施消除隐患。隐患排查、治理情况应当如实记录并建立档案。重点区域包括涉及有毒有害物质的生产区，原材料及固体废物的堆存区、储放区和转运区等；重点设施包括涉及有毒有害物质的地下储罐、地下管线，以及污染治理设施等。4.化学品生产企业以及工业集聚区、矿山开采区、尾矿库、危险废物处置场、垃圾填埋场等的运营、管理单位，应当采取防渗漏等措施，并建设地下水水质监测井进行监测，防止地下水污染。5.重点单位通过新、改、扩建项目的土壤和地下水环境现状调查，发现项目用地污染物含量超过国家或者地方有关建设用地土壤污染风险管控标准的，土地使用权人或者污染责任人应当参照污染地块土壤环境管理有关规定开展详细调查、风险评估、风险管控、治理与修复等活动。</w:t>
                  </w:r>
                </w:p>
              </w:tc>
              <w:tc>
                <w:tcPr>
                  <w:tcW w:w="1974" w:type="dxa"/>
                  <w:noWrap w:val="0"/>
                  <w:vAlign w:val="center"/>
                </w:tcPr>
                <w:p>
                  <w:pPr>
                    <w:keepNext w:val="0"/>
                    <w:keepLines w:val="0"/>
                    <w:numPr>
                      <w:ilvl w:val="0"/>
                      <w:numId w:val="0"/>
                    </w:numPr>
                    <w:suppressLineNumbers w:val="0"/>
                    <w:autoSpaceDE w:val="0"/>
                    <w:autoSpaceDN w:val="0"/>
                    <w:adjustRightInd w:val="0"/>
                    <w:spacing w:before="0" w:beforeAutospacing="0" w:after="0" w:afterAutospacing="0"/>
                    <w:ind w:left="0" w:leftChars="0" w:right="0" w:rightChars="0"/>
                    <w:jc w:val="center"/>
                    <w:rPr>
                      <w:rFonts w:hint="eastAsia" w:cs="Times New Roman"/>
                      <w:snapToGrid w:val="0"/>
                      <w:color w:val="auto"/>
                      <w:kern w:val="0"/>
                      <w:sz w:val="21"/>
                      <w:szCs w:val="21"/>
                      <w:u w:val="none" w:color="auto"/>
                      <w:lang w:val="en-US" w:eastAsia="zh-CN" w:bidi="ar-SA"/>
                    </w:rPr>
                  </w:pPr>
                  <w:r>
                    <w:rPr>
                      <w:rFonts w:hint="eastAsia" w:ascii="Times New Roman" w:hAnsi="Times New Roman" w:eastAsia="宋体" w:cs="Times New Roman"/>
                      <w:snapToGrid w:val="0"/>
                      <w:color w:val="auto"/>
                      <w:kern w:val="0"/>
                      <w:sz w:val="21"/>
                      <w:szCs w:val="21"/>
                      <w:u w:color="auto"/>
                      <w:lang w:val="en-US" w:eastAsia="zh-CN" w:bidi="ar-SA"/>
                    </w:rPr>
                    <w:t>1.</w:t>
                  </w:r>
                  <w:r>
                    <w:rPr>
                      <w:rFonts w:hint="eastAsia" w:cs="Times New Roman"/>
                      <w:snapToGrid w:val="0"/>
                      <w:color w:val="auto"/>
                      <w:kern w:val="0"/>
                      <w:sz w:val="21"/>
                      <w:szCs w:val="21"/>
                      <w:u w:val="none" w:color="auto"/>
                      <w:lang w:val="en-US" w:eastAsia="zh-CN" w:bidi="ar-SA"/>
                    </w:rPr>
                    <w:t>本项目不属于土壤污染重点监管单位</w:t>
                  </w:r>
                </w:p>
                <w:p>
                  <w:pPr>
                    <w:pStyle w:val="2"/>
                    <w:keepNext w:val="0"/>
                    <w:keepLines w:val="0"/>
                    <w:numPr>
                      <w:ilvl w:val="0"/>
                      <w:numId w:val="0"/>
                    </w:numPr>
                    <w:suppressLineNumbers w:val="0"/>
                    <w:spacing w:before="0" w:beforeAutospacing="0" w:after="0" w:afterAutospacing="0"/>
                    <w:ind w:right="0"/>
                    <w:jc w:val="center"/>
                    <w:rPr>
                      <w:rFonts w:hint="eastAsia" w:cs="Times New Roman"/>
                      <w:snapToGrid w:val="0"/>
                      <w:color w:val="auto"/>
                      <w:kern w:val="0"/>
                      <w:sz w:val="21"/>
                      <w:szCs w:val="21"/>
                      <w:u w:val="none" w:color="auto"/>
                      <w:lang w:val="en-US" w:eastAsia="zh-CN" w:bidi="ar-SA"/>
                    </w:rPr>
                  </w:pPr>
                  <w:r>
                    <w:rPr>
                      <w:rFonts w:hint="eastAsia"/>
                      <w:color w:val="auto"/>
                      <w:sz w:val="21"/>
                      <w:szCs w:val="21"/>
                      <w:lang w:val="en-US" w:eastAsia="zh-CN"/>
                    </w:rPr>
                    <w:t>2.本项目不属于</w:t>
                  </w:r>
                  <w:r>
                    <w:rPr>
                      <w:rFonts w:hint="eastAsia" w:cs="Times New Roman"/>
                      <w:snapToGrid w:val="0"/>
                      <w:color w:val="auto"/>
                      <w:kern w:val="0"/>
                      <w:sz w:val="21"/>
                      <w:szCs w:val="21"/>
                      <w:u w:val="none" w:color="auto"/>
                      <w:lang w:val="en-US" w:eastAsia="zh-CN" w:bidi="ar-SA"/>
                    </w:rPr>
                    <w:t>土壤污染重点监管单位</w:t>
                  </w:r>
                </w:p>
                <w:p>
                  <w:pPr>
                    <w:keepNext w:val="0"/>
                    <w:keepLines w:val="0"/>
                    <w:suppressLineNumbers w:val="0"/>
                    <w:spacing w:before="0" w:beforeAutospacing="0" w:after="0" w:afterAutospacing="0"/>
                    <w:ind w:left="0" w:right="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3.土壤污染重点监管单位</w:t>
                  </w:r>
                </w:p>
                <w:p>
                  <w:pPr>
                    <w:pStyle w:val="2"/>
                    <w:keepNext w:val="0"/>
                    <w:keepLines w:val="0"/>
                    <w:suppressLineNumbers w:val="0"/>
                    <w:spacing w:before="0" w:beforeAutospacing="0" w:after="0" w:afterAutospacing="0"/>
                    <w:ind w:left="0" w:leftChars="0" w:right="0" w:firstLine="0" w:firstLineChars="0"/>
                    <w:jc w:val="center"/>
                    <w:rPr>
                      <w:rFonts w:hint="eastAsia" w:cs="Times New Roman"/>
                      <w:snapToGrid w:val="0"/>
                      <w:color w:val="auto"/>
                      <w:kern w:val="0"/>
                      <w:sz w:val="21"/>
                      <w:szCs w:val="21"/>
                      <w:u w:val="none" w:color="auto"/>
                      <w:lang w:val="en-US" w:eastAsia="zh-CN" w:bidi="ar-SA"/>
                    </w:rPr>
                  </w:pPr>
                  <w:r>
                    <w:rPr>
                      <w:rFonts w:hint="eastAsia" w:cs="Times New Roman"/>
                      <w:snapToGrid w:val="0"/>
                      <w:color w:val="auto"/>
                      <w:kern w:val="0"/>
                      <w:sz w:val="21"/>
                      <w:szCs w:val="21"/>
                      <w:u w:val="none" w:color="auto"/>
                      <w:lang w:val="en-US" w:eastAsia="zh-CN" w:bidi="ar-SA"/>
                    </w:rPr>
                    <w:t>4.本项目不属于化学品生产企业以及工业集聚区、矿山开采区、尾矿库、危险废物处置场、垃圾填埋场等</w:t>
                  </w:r>
                </w:p>
                <w:p>
                  <w:pPr>
                    <w:keepNext w:val="0"/>
                    <w:keepLines w:val="0"/>
                    <w:suppressLineNumbers w:val="0"/>
                    <w:spacing w:before="0" w:beforeAutospacing="0" w:after="0" w:afterAutospacing="0"/>
                    <w:ind w:left="0" w:leftChars="0" w:right="0" w:rightChars="0"/>
                    <w:jc w:val="center"/>
                    <w:rPr>
                      <w:rFonts w:hint="eastAsia" w:ascii="Times New Roman" w:hAnsi="Times New Roman" w:eastAsia="宋体" w:cs="Times New Roman"/>
                      <w:color w:val="auto"/>
                      <w:sz w:val="21"/>
                      <w:szCs w:val="21"/>
                      <w:lang w:val="en-US" w:eastAsia="zh-CN"/>
                    </w:rPr>
                  </w:pPr>
                  <w:r>
                    <w:rPr>
                      <w:rFonts w:hint="eastAsia" w:cs="Times New Roman"/>
                      <w:snapToGrid w:val="0"/>
                      <w:color w:val="auto"/>
                      <w:kern w:val="0"/>
                      <w:sz w:val="21"/>
                      <w:szCs w:val="21"/>
                      <w:u w:val="none" w:color="auto"/>
                      <w:lang w:val="en-US" w:eastAsia="zh-CN" w:bidi="ar-SA"/>
                    </w:rPr>
                    <w:t>5.</w:t>
                  </w:r>
                  <w:r>
                    <w:rPr>
                      <w:rFonts w:hint="eastAsia"/>
                      <w:color w:val="auto"/>
                      <w:sz w:val="21"/>
                      <w:szCs w:val="21"/>
                      <w:lang w:val="en-US" w:eastAsia="zh-CN"/>
                    </w:rPr>
                    <w:t>本项目不属于</w:t>
                  </w:r>
                  <w:r>
                    <w:rPr>
                      <w:rFonts w:hint="eastAsia" w:cs="Times New Roman"/>
                      <w:snapToGrid w:val="0"/>
                      <w:color w:val="auto"/>
                      <w:kern w:val="0"/>
                      <w:sz w:val="21"/>
                      <w:szCs w:val="21"/>
                      <w:u w:val="none" w:color="auto"/>
                      <w:lang w:val="en-US" w:eastAsia="zh-CN" w:bidi="ar-SA"/>
                    </w:rPr>
                    <w:t>土壤污染重点监管单位</w:t>
                  </w:r>
                </w:p>
              </w:tc>
            </w:tr>
          </w:tbl>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eastAsia"/>
                <w:snapToGrid w:val="0"/>
                <w:color w:val="auto"/>
                <w:kern w:val="0"/>
                <w:sz w:val="24"/>
                <w:lang w:val="en-US" w:eastAsia="zh-CN"/>
              </w:rPr>
            </w:pPr>
            <w:r>
              <w:rPr>
                <w:rFonts w:hint="eastAsia"/>
                <w:snapToGrid w:val="0"/>
                <w:color w:val="auto"/>
                <w:kern w:val="0"/>
                <w:sz w:val="24"/>
                <w:lang w:val="en-US" w:eastAsia="zh-CN"/>
              </w:rPr>
              <w:t>③一说明</w:t>
            </w:r>
          </w:p>
          <w:p>
            <w:pPr>
              <w:keepNext w:val="0"/>
              <w:keepLines w:val="0"/>
              <w:suppressLineNumbers w:val="0"/>
              <w:autoSpaceDE w:val="0"/>
              <w:autoSpaceDN w:val="0"/>
              <w:adjustRightInd w:val="0"/>
              <w:snapToGrid w:val="0"/>
              <w:spacing w:before="0" w:beforeAutospacing="0" w:after="0" w:afterAutospacing="0" w:line="360" w:lineRule="auto"/>
              <w:ind w:left="0" w:right="0" w:firstLine="480" w:firstLineChars="200"/>
              <w:rPr>
                <w:rFonts w:hint="default" w:ascii="Times New Roman" w:hAnsi="Times New Roman" w:cs="Times New Roman"/>
                <w:snapToGrid w:val="0"/>
                <w:color w:val="auto"/>
                <w:kern w:val="0"/>
                <w:sz w:val="24"/>
                <w:szCs w:val="24"/>
                <w:highlight w:val="none"/>
              </w:rPr>
            </w:pPr>
            <w:r>
              <w:rPr>
                <w:rFonts w:hint="default" w:ascii="Times New Roman" w:hAnsi="Times New Roman" w:cs="Times New Roman"/>
                <w:snapToGrid w:val="0"/>
                <w:color w:val="auto"/>
                <w:kern w:val="0"/>
                <w:sz w:val="24"/>
                <w:szCs w:val="24"/>
                <w:highlight w:val="none"/>
              </w:rPr>
              <w:t>本项目</w:t>
            </w:r>
            <w:r>
              <w:rPr>
                <w:rFonts w:hint="eastAsia" w:cs="Times New Roman"/>
                <w:snapToGrid w:val="0"/>
                <w:color w:val="auto"/>
                <w:kern w:val="0"/>
                <w:sz w:val="24"/>
                <w:szCs w:val="24"/>
                <w:highlight w:val="none"/>
                <w:lang w:eastAsia="zh-CN"/>
              </w:rPr>
              <w:t>选址</w:t>
            </w:r>
            <w:r>
              <w:rPr>
                <w:rFonts w:hint="default" w:ascii="Times New Roman" w:hAnsi="Times New Roman" w:cs="Times New Roman"/>
                <w:snapToGrid w:val="0"/>
                <w:color w:val="auto"/>
                <w:kern w:val="0"/>
                <w:sz w:val="24"/>
                <w:szCs w:val="24"/>
                <w:highlight w:val="none"/>
              </w:rPr>
              <w:t>位于</w:t>
            </w:r>
            <w:r>
              <w:rPr>
                <w:rFonts w:hint="eastAsia" w:cs="Times New Roman"/>
                <w:color w:val="auto"/>
                <w:kern w:val="0"/>
                <w:sz w:val="24"/>
                <w:szCs w:val="24"/>
                <w:highlight w:val="none"/>
                <w:lang w:val="en-US" w:eastAsia="zh-CN"/>
              </w:rPr>
              <w:t>伊春市嘉荫县嘉荫农场第一管理区第三作业点</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cs="Times New Roman"/>
                <w:snapToGrid w:val="0"/>
                <w:color w:val="auto"/>
                <w:kern w:val="0"/>
                <w:sz w:val="24"/>
                <w:szCs w:val="24"/>
                <w:highlight w:val="none"/>
              </w:rPr>
              <w:t>本项目选址占地性质为</w:t>
            </w:r>
            <w:r>
              <w:rPr>
                <w:rFonts w:hint="eastAsia" w:cs="Times New Roman"/>
                <w:snapToGrid w:val="0"/>
                <w:color w:val="auto"/>
                <w:kern w:val="0"/>
                <w:sz w:val="24"/>
                <w:szCs w:val="24"/>
                <w:highlight w:val="none"/>
                <w:lang w:val="en-US" w:eastAsia="zh-CN"/>
              </w:rPr>
              <w:t>设施农</w:t>
            </w:r>
            <w:r>
              <w:rPr>
                <w:rFonts w:hint="default" w:ascii="Times New Roman" w:hAnsi="Times New Roman" w:cs="Times New Roman"/>
                <w:snapToGrid w:val="0"/>
                <w:color w:val="auto"/>
                <w:kern w:val="0"/>
                <w:sz w:val="24"/>
                <w:szCs w:val="24"/>
                <w:highlight w:val="none"/>
                <w:lang w:eastAsia="zh-CN"/>
              </w:rPr>
              <w:t>用地</w:t>
            </w:r>
            <w:r>
              <w:rPr>
                <w:rFonts w:hint="default" w:ascii="Times New Roman" w:hAnsi="Times New Roman" w:cs="Times New Roman"/>
                <w:snapToGrid w:val="0"/>
                <w:color w:val="auto"/>
                <w:kern w:val="0"/>
                <w:sz w:val="24"/>
                <w:szCs w:val="24"/>
                <w:highlight w:val="none"/>
              </w:rPr>
              <w:t>，并采取了有效、可行的污染治理措施，各项污染物均可达标排放，本项目建设对周围环境影响较小，因此本项目符合</w:t>
            </w:r>
            <w:r>
              <w:rPr>
                <w:rFonts w:hint="eastAsia" w:ascii="Times New Roman" w:hAnsi="Times New Roman" w:cs="Times New Roman"/>
                <w:color w:val="auto"/>
                <w:kern w:val="0"/>
                <w:sz w:val="24"/>
                <w:szCs w:val="24"/>
                <w:highlight w:val="none"/>
              </w:rPr>
              <w:t>《伊春市人民政府关于实施“三线一单”生态环境分区管控意见》伊政规〔2021〕6号</w:t>
            </w:r>
            <w:r>
              <w:rPr>
                <w:rFonts w:hint="default" w:ascii="Times New Roman" w:hAnsi="Times New Roman" w:cs="Times New Roman"/>
                <w:snapToGrid w:val="0"/>
                <w:color w:val="auto"/>
                <w:kern w:val="0"/>
                <w:sz w:val="24"/>
                <w:szCs w:val="24"/>
                <w:highlight w:val="none"/>
              </w:rPr>
              <w:t>以及</w:t>
            </w:r>
            <w:r>
              <w:rPr>
                <w:rFonts w:hint="default" w:ascii="Times New Roman" w:hAnsi="Times New Roman" w:eastAsia="宋体" w:cs="Times New Roman"/>
                <w:color w:val="auto"/>
                <w:sz w:val="24"/>
                <w:lang w:val="en-US" w:eastAsia="zh-CN"/>
              </w:rPr>
              <w:t>伊春市生态环境准入清单（2023年版）</w:t>
            </w:r>
            <w:r>
              <w:rPr>
                <w:rFonts w:hint="default" w:ascii="Times New Roman" w:hAnsi="Times New Roman" w:cs="Times New Roman"/>
                <w:snapToGrid w:val="0"/>
                <w:color w:val="auto"/>
                <w:kern w:val="0"/>
                <w:sz w:val="24"/>
                <w:szCs w:val="24"/>
                <w:highlight w:val="none"/>
              </w:rPr>
              <w:t>中要求。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bidi="ar-SA"/>
              </w:rPr>
              <w:t>2、</w:t>
            </w:r>
            <w:r>
              <w:rPr>
                <w:rFonts w:hint="default" w:ascii="Times New Roman" w:hAnsi="Times New Roman" w:cs="Times New Roman"/>
                <w:color w:val="auto"/>
                <w:kern w:val="0"/>
                <w:sz w:val="24"/>
                <w:szCs w:val="24"/>
                <w:lang w:val="en-US" w:eastAsia="zh-CN"/>
              </w:rPr>
              <w:t>产业政策符合性分析：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w:t>
            </w:r>
            <w:r>
              <w:rPr>
                <w:rFonts w:hint="eastAsia" w:cs="Times New Roman"/>
                <w:color w:val="auto"/>
                <w:kern w:val="0"/>
                <w:sz w:val="24"/>
                <w:szCs w:val="24"/>
                <w:lang w:val="en-US" w:eastAsia="zh-CN"/>
              </w:rPr>
              <w:t>《产业结构调整指导目录(2024年本)》</w:t>
            </w:r>
            <w:r>
              <w:rPr>
                <w:rFonts w:hint="default" w:ascii="Times New Roman" w:hAnsi="Times New Roman" w:cs="Times New Roman"/>
                <w:color w:val="auto"/>
                <w:kern w:val="0"/>
                <w:sz w:val="24"/>
                <w:szCs w:val="24"/>
                <w:lang w:val="en-US" w:eastAsia="zh-CN"/>
              </w:rPr>
              <w:t xml:space="preserve">，本项目属于第一类 鼓励类中一、农林业 </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农林牧渔产品储运、保鲜、加工与综合利用，因此本项目的建设符合国家产业政策。</w:t>
            </w:r>
            <w:r>
              <w:rPr>
                <w:rFonts w:hint="eastAsia"/>
                <w:color w:val="auto"/>
                <w:sz w:val="24"/>
                <w:lang w:val="en-US" w:eastAsia="zh-CN"/>
              </w:rPr>
              <w:t>本项目热风炉为600万</w:t>
            </w:r>
            <w:r>
              <w:rPr>
                <w:rFonts w:hint="default" w:ascii="Times New Roman" w:hAnsi="Times New Roman" w:eastAsia="宋体" w:cs="Times New Roman"/>
                <w:color w:val="auto"/>
                <w:sz w:val="24"/>
                <w:szCs w:val="24"/>
                <w:lang w:val="en-US" w:eastAsia="zh-CN"/>
              </w:rPr>
              <w:t>kcal/h</w:t>
            </w:r>
            <w:r>
              <w:rPr>
                <w:rFonts w:hint="eastAsia"/>
                <w:color w:val="auto"/>
                <w:sz w:val="24"/>
                <w:lang w:val="en-US" w:eastAsia="zh-CN"/>
              </w:rPr>
              <w:t>燃生物质热风炉，不属于淘汰类设备，因此本</w:t>
            </w:r>
            <w:r>
              <w:rPr>
                <w:color w:val="auto"/>
                <w:sz w:val="24"/>
              </w:rPr>
              <w:t>项目建设符合国家产业政策。</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bidi="ar-SA"/>
              </w:rPr>
              <w:t>3、</w:t>
            </w:r>
            <w:r>
              <w:rPr>
                <w:rFonts w:hint="default" w:ascii="Times New Roman" w:hAnsi="Times New Roman" w:cs="Times New Roman"/>
                <w:color w:val="auto"/>
                <w:kern w:val="0"/>
                <w:sz w:val="24"/>
                <w:szCs w:val="24"/>
                <w:highlight w:val="none"/>
                <w:lang w:val="en-US" w:eastAsia="zh-CN"/>
              </w:rPr>
              <w:t>选址合理性分析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本项目位于</w:t>
            </w:r>
            <w:r>
              <w:rPr>
                <w:rFonts w:hint="eastAsia" w:ascii="Times New Roman" w:hAnsi="Times New Roman" w:cs="Times New Roman"/>
                <w:color w:val="auto"/>
                <w:sz w:val="24"/>
                <w:szCs w:val="24"/>
                <w:highlight w:val="none"/>
                <w:lang w:eastAsia="zh-CN"/>
              </w:rPr>
              <w:t>伊春市嘉荫县</w:t>
            </w:r>
            <w:r>
              <w:rPr>
                <w:rFonts w:hint="eastAsia" w:cs="Times New Roman"/>
                <w:color w:val="auto"/>
                <w:sz w:val="24"/>
                <w:szCs w:val="24"/>
                <w:highlight w:val="none"/>
                <w:lang w:val="en-US" w:eastAsia="zh-CN"/>
              </w:rPr>
              <w:t>乌云镇旧城村</w:t>
            </w:r>
            <w:r>
              <w:rPr>
                <w:rFonts w:hint="default" w:ascii="Times New Roman" w:hAnsi="Times New Roman" w:eastAsia="宋体" w:cs="Times New Roman"/>
                <w:color w:val="auto"/>
                <w:kern w:val="2"/>
                <w:sz w:val="24"/>
                <w:szCs w:val="24"/>
                <w:highlight w:val="none"/>
                <w:lang w:val="en-US" w:eastAsia="zh-CN" w:bidi="ar"/>
              </w:rPr>
              <w:t>，用地性质为</w:t>
            </w:r>
            <w:r>
              <w:rPr>
                <w:rFonts w:hint="eastAsia" w:cs="Times New Roman"/>
                <w:color w:val="auto"/>
                <w:kern w:val="2"/>
                <w:sz w:val="24"/>
                <w:szCs w:val="24"/>
                <w:highlight w:val="none"/>
                <w:lang w:val="en-US" w:eastAsia="zh-CN" w:bidi="ar"/>
              </w:rPr>
              <w:t>设施农</w:t>
            </w:r>
            <w:r>
              <w:rPr>
                <w:rFonts w:hint="default" w:ascii="Times New Roman" w:hAnsi="Times New Roman" w:eastAsia="宋体" w:cs="Times New Roman"/>
                <w:color w:val="auto"/>
                <w:kern w:val="2"/>
                <w:sz w:val="24"/>
                <w:szCs w:val="24"/>
                <w:highlight w:val="none"/>
                <w:lang w:val="en-US" w:eastAsia="zh-CN" w:bidi="ar"/>
              </w:rPr>
              <w:t>用地，行业类别与用地性质相符</w:t>
            </w:r>
            <w:r>
              <w:rPr>
                <w:rFonts w:hint="eastAsia" w:ascii="Times New Roman" w:hAnsi="Times New Roman" w:eastAsia="宋体" w:cs="Times New Roman"/>
                <w:color w:val="auto"/>
                <w:kern w:val="2"/>
                <w:sz w:val="24"/>
                <w:szCs w:val="24"/>
                <w:highlight w:val="none"/>
                <w:lang w:val="en-US" w:eastAsia="zh-CN" w:bidi="ar"/>
              </w:rPr>
              <w:t>，项目</w:t>
            </w:r>
            <w:r>
              <w:rPr>
                <w:rFonts w:hint="default" w:ascii="Times New Roman" w:hAnsi="Times New Roman" w:eastAsia="宋体" w:cs="Times New Roman"/>
                <w:color w:val="auto"/>
                <w:kern w:val="2"/>
                <w:sz w:val="24"/>
                <w:szCs w:val="24"/>
                <w:highlight w:val="none"/>
                <w:lang w:val="en-US" w:eastAsia="zh-CN" w:bidi="ar-SA"/>
              </w:rPr>
              <w:t>北侧为</w:t>
            </w:r>
            <w:r>
              <w:rPr>
                <w:rFonts w:hint="eastAsia" w:cs="Times New Roman"/>
                <w:color w:val="auto"/>
                <w:kern w:val="2"/>
                <w:sz w:val="24"/>
                <w:szCs w:val="24"/>
                <w:highlight w:val="none"/>
                <w:lang w:val="en-US" w:eastAsia="zh-CN" w:bidi="ar-SA"/>
              </w:rPr>
              <w:t>旧城村居民</w:t>
            </w:r>
            <w:r>
              <w:rPr>
                <w:rFonts w:hint="default" w:ascii="Times New Roman" w:hAnsi="Times New Roman" w:eastAsia="宋体" w:cs="Times New Roman"/>
                <w:color w:val="auto"/>
                <w:kern w:val="2"/>
                <w:sz w:val="24"/>
                <w:szCs w:val="24"/>
                <w:highlight w:val="none"/>
                <w:lang w:val="en-US" w:eastAsia="zh-CN" w:bidi="ar-SA"/>
              </w:rPr>
              <w:t>，西侧为</w:t>
            </w:r>
            <w:r>
              <w:rPr>
                <w:rFonts w:hint="eastAsia" w:cs="Times New Roman"/>
                <w:color w:val="auto"/>
                <w:kern w:val="2"/>
                <w:sz w:val="24"/>
                <w:szCs w:val="24"/>
                <w:highlight w:val="none"/>
                <w:lang w:val="en-US" w:eastAsia="zh-CN" w:bidi="ar-SA"/>
              </w:rPr>
              <w:t>嘉荫县乌云镇新杰合作社</w:t>
            </w:r>
            <w:r>
              <w:rPr>
                <w:rFonts w:hint="default"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kern w:val="2"/>
                <w:sz w:val="24"/>
                <w:szCs w:val="24"/>
                <w:highlight w:val="none"/>
                <w:lang w:val="en-US" w:eastAsia="zh-CN" w:bidi="ar-SA"/>
              </w:rPr>
              <w:t>南侧为国道</w:t>
            </w:r>
            <w:r>
              <w:rPr>
                <w:rFonts w:hint="eastAsia" w:cs="Times New Roman"/>
                <w:color w:val="auto"/>
                <w:kern w:val="2"/>
                <w:sz w:val="24"/>
                <w:szCs w:val="24"/>
                <w:highlight w:val="none"/>
                <w:lang w:val="en-US" w:eastAsia="zh-CN" w:bidi="ar-SA"/>
              </w:rPr>
              <w:t>G331</w:t>
            </w:r>
            <w:r>
              <w:rPr>
                <w:rFonts w:hint="eastAsia" w:ascii="Times New Roman" w:hAnsi="Times New Roman" w:eastAsia="宋体" w:cs="Times New Roman"/>
                <w:color w:val="auto"/>
                <w:kern w:val="2"/>
                <w:sz w:val="24"/>
                <w:szCs w:val="24"/>
                <w:highlight w:val="none"/>
                <w:lang w:val="en-US" w:eastAsia="zh-CN" w:bidi="ar-SA"/>
              </w:rPr>
              <w:t>，东侧为</w:t>
            </w:r>
            <w:r>
              <w:rPr>
                <w:rFonts w:hint="eastAsia" w:cs="Times New Roman"/>
                <w:color w:val="auto"/>
                <w:kern w:val="2"/>
                <w:sz w:val="24"/>
                <w:szCs w:val="24"/>
                <w:highlight w:val="none"/>
                <w:lang w:val="en-US" w:eastAsia="zh-CN" w:bidi="ar-SA"/>
              </w:rPr>
              <w:t>嘉荫县粮农粮食贸易有限公司</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cs="Times New Roman"/>
                <w:color w:val="auto"/>
                <w:sz w:val="24"/>
                <w:szCs w:val="24"/>
                <w:highlight w:val="none"/>
                <w:lang w:val="en-US" w:eastAsia="zh-CN"/>
              </w:rPr>
              <w:t>本</w:t>
            </w:r>
            <w:r>
              <w:rPr>
                <w:rFonts w:hint="eastAsia" w:cs="Times New Roman"/>
                <w:color w:val="auto"/>
                <w:sz w:val="24"/>
                <w:szCs w:val="24"/>
                <w:highlight w:val="none"/>
                <w:lang w:val="en-US" w:eastAsia="zh-CN"/>
              </w:rPr>
              <w:t>项目</w:t>
            </w:r>
            <w:r>
              <w:rPr>
                <w:rFonts w:hint="eastAsia" w:ascii="Times New Roman" w:hAnsi="Times New Roman" w:eastAsia="宋体" w:cs="Times New Roman"/>
                <w:color w:val="auto"/>
                <w:sz w:val="24"/>
                <w:szCs w:val="24"/>
                <w:highlight w:val="none"/>
                <w:lang w:val="en-US" w:eastAsia="zh-CN"/>
              </w:rPr>
              <w:t>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4</w:t>
            </w:r>
            <w:r>
              <w:rPr>
                <w:rFonts w:hint="eastAsia" w:ascii="Times New Roman" w:hAnsi="Times New Roman" w:eastAsia="宋体" w:cs="Times New Roman"/>
                <w:color w:val="auto"/>
                <w:sz w:val="24"/>
                <w:szCs w:val="24"/>
                <w:highlight w:val="none"/>
                <w:lang w:val="en-US" w:eastAsia="zh-CN"/>
              </w:rPr>
              <w:t>二级标准。烟气黑度满足《工业炉窑大气污染物排放标准》（GB9078-1996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w:t>
            </w:r>
            <w:r>
              <w:rPr>
                <w:rFonts w:hint="eastAsia" w:cs="Times New Roman"/>
                <w:color w:val="auto"/>
                <w:sz w:val="24"/>
                <w:szCs w:val="24"/>
                <w:highlight w:val="none"/>
                <w:lang w:val="en-US" w:eastAsia="zh-CN"/>
              </w:rPr>
              <w:t>2</w:t>
            </w:r>
            <w:r>
              <w:rPr>
                <w:rFonts w:hint="eastAsia" w:ascii="Times New Roman" w:hAnsi="Times New Roman" w:eastAsia="宋体" w:cs="Times New Roman"/>
                <w:color w:val="auto"/>
                <w:sz w:val="24"/>
                <w:szCs w:val="24"/>
                <w:highlight w:val="none"/>
                <w:lang w:val="en-US" w:eastAsia="zh-CN"/>
              </w:rPr>
              <w:t>二级标准。粮食烘干、筛选、装卸、输送生产过程中采取仓库密闭、减小装卸高度</w:t>
            </w:r>
            <w:r>
              <w:rPr>
                <w:rFonts w:hint="eastAsia" w:cs="Times New Roman"/>
                <w:color w:val="auto"/>
                <w:sz w:val="24"/>
                <w:szCs w:val="24"/>
                <w:highlight w:val="none"/>
                <w:lang w:val="en-US" w:eastAsia="zh-CN"/>
              </w:rPr>
              <w:t>等措施；</w:t>
            </w:r>
            <w:r>
              <w:rPr>
                <w:rFonts w:hint="eastAsia" w:ascii="Times New Roman" w:hAnsi="Times New Roman" w:eastAsia="宋体" w:cs="Times New Roman"/>
                <w:color w:val="auto"/>
                <w:sz w:val="24"/>
                <w:szCs w:val="24"/>
                <w:highlight w:val="none"/>
                <w:lang w:val="en-US" w:eastAsia="zh-CN"/>
              </w:rPr>
              <w:t>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w:t>
            </w:r>
            <w:r>
              <w:rPr>
                <w:rFonts w:hint="default" w:ascii="Times New Roman" w:hAnsi="Times New Roman" w:cs="Times New Roman"/>
                <w:color w:val="auto"/>
                <w:sz w:val="24"/>
                <w:szCs w:val="24"/>
                <w:highlight w:val="none"/>
                <w:lang w:val="en-US" w:eastAsia="zh-CN"/>
              </w:rPr>
              <w:t>不会对周围居民生活造成明显影响。综上所述，本项目选址较为合理。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0"/>
                <w:sz w:val="24"/>
                <w:szCs w:val="24"/>
                <w:lang w:val="en-US" w:eastAsia="zh-CN"/>
              </w:rPr>
              <w:t>4、与《黑龙江省工业炉窑大气污染综合治理方案》（黑环发</w:t>
            </w:r>
            <w:r>
              <w:rPr>
                <w:rFonts w:hint="eastAsia" w:cs="Times New Roman"/>
                <w:color w:val="auto"/>
                <w:kern w:val="0"/>
                <w:sz w:val="24"/>
                <w:szCs w:val="24"/>
                <w:lang w:val="en-US" w:eastAsia="zh-CN"/>
              </w:rPr>
              <w:t>〔2019〕144号</w:t>
            </w:r>
            <w:r>
              <w:rPr>
                <w:rFonts w:hint="default" w:ascii="Times New Roman" w:hAnsi="Times New Roman" w:cs="Times New Roman"/>
                <w:color w:val="auto"/>
                <w:kern w:val="0"/>
                <w:sz w:val="24"/>
                <w:szCs w:val="24"/>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对照《黑龙江省工业炉窑大气污染综合治理方案》（黑环发〔2019〕144号），本项目不属于钢铁、焦化、电解铝、铸造、水泥和平板玻璃等产能过剩行业，符合文件中“二、重点任务：（一）加大产业结构调整力度”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本项目烘干塔热风炉燃用生物质压块燃料，不涉及燃煤及煤气发生炉设备，符合文件中“二、重点任务：（二）加快燃料清洁低碳化替代”中的相关要求。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本项目烘干塔热风炉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sz w:val="24"/>
                <w:szCs w:val="24"/>
                <w:highlight w:val="none"/>
                <w:lang w:val="en-US" w:eastAsia="zh-CN"/>
              </w:rPr>
              <w:t>配设布袋除尘器及15m排气筒，可使热风炉烟气达标排放；本项目粮食仓库封闭，输送传送带封闭设置，运输车辆进入粮食仓库内装卸料，装卸区设置遮挡设施，清选工艺采用封闭式清理筛，通过上述措施可使厂界颗粒物无组织达标排放，符合文件中“二、重点任务：（三）实施污染深度治理。推进工业炉窑全面达标排放。”中的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综上所述，本项目符合《黑龙江省工业炉窑大气污染综合治理方案》（黑环发</w:t>
            </w:r>
            <w:r>
              <w:rPr>
                <w:rFonts w:hint="eastAsia" w:cs="Times New Roman"/>
                <w:color w:val="auto"/>
                <w:sz w:val="24"/>
                <w:szCs w:val="24"/>
                <w:highlight w:val="none"/>
                <w:lang w:val="en-US" w:eastAsia="zh-CN"/>
              </w:rPr>
              <w:t>〔2019〕144号）</w:t>
            </w:r>
            <w:r>
              <w:rPr>
                <w:rFonts w:hint="default" w:ascii="Times New Roman" w:hAnsi="Times New Roman" w:eastAsia="宋体" w:cs="Times New Roman"/>
                <w:color w:val="auto"/>
                <w:sz w:val="24"/>
                <w:szCs w:val="24"/>
                <w:highlight w:val="none"/>
                <w:lang w:val="en-US" w:eastAsia="zh-CN"/>
              </w:rPr>
              <w:t>相关要求。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left="0" w:leftChars="0"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kern w:val="2"/>
                <w:sz w:val="24"/>
                <w:szCs w:val="24"/>
                <w:lang w:val="en-US" w:eastAsia="zh-CN" w:bidi="ar-SA"/>
              </w:rPr>
              <w:t>5、</w:t>
            </w:r>
            <w:r>
              <w:rPr>
                <w:rFonts w:hint="eastAsia" w:ascii="Times New Roman" w:hAnsi="Times New Roman" w:eastAsia="宋体" w:cs="Times New Roman"/>
                <w:color w:val="auto"/>
                <w:sz w:val="24"/>
                <w:szCs w:val="24"/>
                <w:highlight w:val="none"/>
                <w:lang w:val="en-US" w:eastAsia="zh-CN"/>
              </w:rPr>
              <w:t>与《工业炉窑大气污染综合治理方案》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环大气</w:t>
            </w:r>
            <w:r>
              <w:rPr>
                <w:rFonts w:hint="eastAsia" w:cs="Times New Roman"/>
                <w:color w:val="auto"/>
                <w:sz w:val="24"/>
                <w:szCs w:val="24"/>
                <w:highlight w:val="none"/>
                <w:lang w:val="en-US" w:eastAsia="zh-CN"/>
              </w:rPr>
              <w:t>〔2019〕56号）</w:t>
            </w:r>
            <w:r>
              <w:rPr>
                <w:rFonts w:hint="eastAsia" w:ascii="Times New Roman" w:hAnsi="Times New Roman" w:eastAsia="宋体" w:cs="Times New Roman"/>
                <w:color w:val="auto"/>
                <w:sz w:val="24"/>
                <w:szCs w:val="24"/>
                <w:highlight w:val="none"/>
                <w:lang w:val="en-US" w:eastAsia="zh-CN"/>
              </w:rPr>
              <w:t>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《工业炉窑大气污染综合治理方案</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提出：（一）加大产业结构调整力度。严格建设项目环境准入。新建涉工业炉窑的建设项目，原则上要入园区，配套建设高效环保治理设施。重点区域严格控制涉工业炉窑建设项目，严禁新增钢铁、焦化、电解铝、铸造、水泥和平板玻璃等产能；严格执行钢铁、水泥、平板玻璃等行业产能置换实施办法；原则上禁止新建燃料类煤气发生炉（园区现有企业统一建设的清洁煤制气中心除外）。加大落后产能和不达标工业炉窑淘汰力度。分行业清理《产业结构调整指导目录》淘汰类工业炉窑。天津、河北、山西、江苏、山东等地要按时完成各地已出台的钢铁、焦化、化工等行业产业结构调整任务。鼓励各地制定更加严格的环保标准，进一步促进产业结构调整。对热效率低下、敞开未封闭，装备简易落后、自动化程度低，无组织排放突出，以及无治理设施或治理设施工艺落后等严重污染环境的工业炉窑，依法责令停业关闭。</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二）加快燃料清洁低碳化替代。对以煤、石油焦、渣油、重油等为燃料的工业炉窑，加快使用清洁低碳能源以及利用工厂余热、电厂热力等进行替代。重点区域禁止掺烧高硫石油焦（硫含量大于3%）。玻璃行业全面禁止掺烧高硫石油焦。加大煤气发生炉淘汰力度。2020年年底前，重点区域淘汰炉膛直径3 米以下燃料类煤气发生炉；集中使用煤气发生炉的工业园区，暂不具备改用天然气条件的，原则上应建设统一的清洁煤制气中心。加快淘汰燃煤工业炉窑。重点区域取缔燃煤热风炉，基本淘汰热电联产供热管网覆盖范围内的燃煤加热、烘干炉（窑）。加快推动铸造（10吨/小时及以下）、岩棉等行业冲天炉改为电炉。</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三）实施污染深度治理。推进工业炉窑全面达标排放。已有行业排放标准的工业炉窑，严格执行行业排放标准相关规定，配套建设高效脱硫脱硝除尘设施，确保稳定达标排放。已制定更严格地方排放标准的，按地方标准执行。重点区域钢铁、水泥、焦化、石化、化工、有色等行业，二氧化硫、氮氧化物、颗粒物、挥发性有机物（VOCs）排放全面执行大气污染物特别排放限值。已核发排污许可证的，应严格执行许可要求。</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热风炉属于工业炉窑，但由于项目为区域粮食服务，不属于《工业炉窑大气污染综合治理方案》中所列的行业，结合黑龙江省现有粮食烘干企业的情况，目前均未要求粮食烘干企业进驻工业园区的要求。热风炉燃料为生物质，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表2中的二级标准，汞、SO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表2中的二级标准。综上分析，本项目符合《工业炉窑大气污染综合治理方案》相关要求。</w:t>
            </w:r>
          </w:p>
          <w:p>
            <w:pPr>
              <w:pStyle w:val="38"/>
              <w:rPr>
                <w:rFonts w:hint="default"/>
                <w:color w:val="auto"/>
                <w:lang w:val="en-US" w:eastAsia="zh-CN"/>
              </w:rPr>
            </w:pPr>
            <w:r>
              <w:rPr>
                <w:rFonts w:hint="eastAsia" w:ascii="Times New Roman" w:hAnsi="Times New Roman" w:eastAsia="宋体" w:cs="Times New Roman"/>
                <w:color w:val="auto"/>
                <w:sz w:val="24"/>
                <w:szCs w:val="24"/>
                <w:highlight w:val="none"/>
                <w:lang w:val="en-US" w:eastAsia="zh-CN"/>
              </w:rPr>
              <w:t>6、与《黑龙江省大气污染防治行动计划实施细则》符合性分析</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eastAsia"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黑龙江省大气污染防治行动计划实施细则》指出：“加强电力、冶金、石油石化、建材、焦化等重点行业二氧化硫、氮氧化物和颗粒物的治理。所有燃煤电厂、钢铁企业的烧结机和球团生产设备、石油炼制企业的催化裂化装置、有色金属冶炼企业都要安装脱硫设施。”“严格产业环境准入。严控高污染、高耗能行业新增产能，全省不再审批新增加产能的钢铁、水泥、平板玻璃、电解铝等严重过剩产能项目。”“优化产业空间布局。科学制定并严格实施城市规划，强化城市空间管制要求和绿地控制要求。合理确定产业发展布局，规范各类产业园区和城市新城、新区设立和布局，重大建设项目原则上布局在重点开发区。”</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本项目为热力生产和供应、农产品初加工类项目，不属于电力、冶金、石油石化、建材、焦化等重点行业，不属于钢铁、水泥、平板玻璃、电解铝等严重过剩产能项目，不属于上述高污染、高耗能行业，本项目燃生物质热风炉</w:t>
            </w:r>
            <w:r>
              <w:rPr>
                <w:rFonts w:hint="eastAsia" w:cs="Times New Roman"/>
                <w:color w:val="auto"/>
                <w:sz w:val="24"/>
                <w:szCs w:val="24"/>
                <w:highlight w:val="none"/>
                <w:lang w:val="en-US" w:eastAsia="zh-CN"/>
              </w:rPr>
              <w:t>采用低氮燃烧技术，</w:t>
            </w:r>
            <w:r>
              <w:rPr>
                <w:rFonts w:hint="eastAsia" w:ascii="Times New Roman" w:hAnsi="Times New Roman" w:eastAsia="宋体" w:cs="Times New Roman"/>
                <w:color w:val="auto"/>
                <w:sz w:val="24"/>
                <w:szCs w:val="24"/>
                <w:highlight w:val="none"/>
                <w:lang w:val="en-US" w:eastAsia="zh-CN"/>
              </w:rPr>
              <w:t>烟气经除尘效率为99%的布袋除尘器处理后经15m高烟囱排放，颗粒物排放浓度执行《工业炉窑大气污染物排放标准》（GB9078-1996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表2中的二级标准，SO</w:t>
            </w:r>
            <w:r>
              <w:rPr>
                <w:rFonts w:hint="eastAsia" w:ascii="Times New Roman" w:hAnsi="Times New Roman" w:eastAsia="宋体" w:cs="Times New Roman"/>
                <w:color w:val="auto"/>
                <w:sz w:val="24"/>
                <w:szCs w:val="24"/>
                <w:highlight w:val="none"/>
                <w:vertAlign w:val="subscript"/>
                <w:lang w:val="en-US" w:eastAsia="zh-CN"/>
              </w:rPr>
              <w:t>2</w:t>
            </w:r>
            <w:r>
              <w:rPr>
                <w:rFonts w:hint="eastAsia" w:ascii="Times New Roman" w:hAnsi="Times New Roman" w:eastAsia="宋体" w:cs="Times New Roman"/>
                <w:color w:val="auto"/>
                <w:sz w:val="24"/>
                <w:szCs w:val="24"/>
                <w:highlight w:val="none"/>
                <w:lang w:val="en-US" w:eastAsia="zh-CN"/>
              </w:rPr>
              <w:t>排放浓度执行《工业炉窑大气污染物排放标准》（GB9078-1996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表4中的二级标准。烟气黑度执行《工业炉窑大气污染物排放标准》（GB9078-1996</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表2中的二级标准。</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eastAsia" w:ascii="Times New Roman" w:hAnsi="Times New Roman" w:eastAsia="宋体" w:cs="Times New Roman"/>
                <w:color w:val="auto"/>
                <w:sz w:val="24"/>
                <w:szCs w:val="24"/>
                <w:highlight w:val="none"/>
                <w:lang w:val="en-US" w:eastAsia="zh-CN"/>
              </w:rPr>
              <w:t>粮食烘干、筛选、装卸、输送生产过程中采取仓库密闭、减小装卸高度；清理筛</w:t>
            </w:r>
            <w:r>
              <w:rPr>
                <w:rFonts w:hint="eastAsia" w:cs="Times New Roman"/>
                <w:color w:val="auto"/>
                <w:sz w:val="24"/>
                <w:szCs w:val="24"/>
                <w:highlight w:val="none"/>
                <w:lang w:val="en-US" w:eastAsia="zh-CN"/>
              </w:rPr>
              <w:t>采用封闭式清理筛</w:t>
            </w:r>
            <w:r>
              <w:rPr>
                <w:rFonts w:hint="eastAsia" w:ascii="Times New Roman" w:hAnsi="Times New Roman" w:eastAsia="宋体" w:cs="Times New Roman"/>
                <w:color w:val="auto"/>
                <w:sz w:val="24"/>
                <w:szCs w:val="24"/>
                <w:highlight w:val="none"/>
                <w:lang w:val="en-US" w:eastAsia="zh-CN"/>
              </w:rPr>
              <w:t>，烘干塔烘干废气经折流挡板和塔顶排气孔滤尘网过滤后排放。采取措施后厂区内污染物排放量小，对环境空气影响较小，因此本项目符合《黑龙江省大气污染防治行动计划实施细则》要求。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7</w:t>
            </w:r>
            <w:r>
              <w:rPr>
                <w:rFonts w:hint="eastAsia" w:ascii="Times New Roman" w:hAnsi="Times New Roman" w:eastAsia="宋体" w:cs="Times New Roman"/>
                <w:color w:val="auto"/>
                <w:sz w:val="24"/>
                <w:szCs w:val="24"/>
                <w:highlight w:val="none"/>
                <w:lang w:val="en-US" w:eastAsia="zh-CN"/>
              </w:rPr>
              <w:t>、与《环境空气细颗粒物污染综合防治技术政策》（中华人民共和国环境保护部公告2013年第59号）符合性分析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（十）应将排放细颗粒物和前体污染物排放量较大的行业作为工业污染源治理的重点</w:t>
            </w:r>
            <w:r>
              <w:rPr>
                <w:rFonts w:hint="eastAsia" w:ascii="宋体" w:hAnsi="宋体" w:cs="宋体"/>
                <w:bCs/>
                <w:color w:val="auto"/>
                <w:kern w:val="0"/>
                <w:sz w:val="24"/>
                <w:highlight w:val="none"/>
                <w:lang w:val="en-US" w:eastAsia="zh-CN"/>
              </w:rPr>
              <w:t>。</w:t>
            </w:r>
            <w:r>
              <w:rPr>
                <w:rFonts w:hint="eastAsia" w:ascii="宋体" w:hAnsi="宋体" w:eastAsia="宋体" w:cs="宋体"/>
                <w:bCs/>
                <w:color w:val="auto"/>
                <w:kern w:val="0"/>
                <w:sz w:val="24"/>
                <w:highlight w:val="none"/>
                <w:lang w:val="en-US" w:eastAsia="zh-CN"/>
              </w:rPr>
              <w:t>包括：火电、冶金、建材、石油化工、合成材料、制药、塑料加工、表面涂装、电子产品与设备制造、包装印刷等。工业污染源的污染防治，应参照燃煤二氧化硫、火电厂氮氧化物和冶金、建材、化工等污染防治技术政策的具体内容，开展相关工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（十一）应加强对各类污染源的监管，确保污染治理设施稳定运行，切实落实企业环保责任。鼓励采用低能耗、低污染的生产工艺，提高各个行业的清洁生产水平，降低污染物产生量。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（十二）应制定严格、完善的国家和地方工业污染物排放标准，明确各行业排放控制要求。在环境污染严重、污染物排放量大的地区，应制定实施严格的地方排放标准或国家排放标准特别排放限值。</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eastAsia" w:ascii="宋体" w:hAnsi="宋体" w:eastAsia="宋体" w:cs="宋体"/>
                <w:bCs/>
                <w:color w:val="auto"/>
                <w:kern w:val="0"/>
                <w:sz w:val="24"/>
                <w:highlight w:val="none"/>
                <w:lang w:val="en-US" w:eastAsia="zh-CN"/>
              </w:rPr>
              <w:t>（十三）对于排放细颗粒物的工业污染源，应按照生产工艺、排放方式和烟（废）气组成的特点，选取适用的污染防治技术。工业污染源有组织排放的颗粒物，宜</w:t>
            </w:r>
            <w:r>
              <w:rPr>
                <w:rFonts w:hint="default" w:ascii="Times New Roman" w:hAnsi="Times New Roman" w:eastAsia="宋体" w:cs="Times New Roman"/>
                <w:bCs/>
                <w:color w:val="auto"/>
                <w:kern w:val="0"/>
                <w:sz w:val="24"/>
                <w:highlight w:val="none"/>
                <w:lang w:val="en-US" w:eastAsia="zh-CN"/>
              </w:rPr>
              <w:t xml:space="preserve">采取袋除尘、电除尘、电袋除尘等高效除尘技术，鼓励火电机组和大型燃煤锅炉采用湿式电除尘等新技术。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kern w:val="0"/>
                <w:sz w:val="24"/>
                <w:highlight w:val="none"/>
                <w:lang w:val="en-US" w:eastAsia="zh-CN"/>
              </w:rPr>
            </w:pPr>
            <w:r>
              <w:rPr>
                <w:rFonts w:hint="default" w:ascii="Times New Roman" w:hAnsi="Times New Roman" w:eastAsia="宋体" w:cs="Times New Roman"/>
                <w:bCs/>
                <w:color w:val="auto"/>
                <w:kern w:val="0"/>
                <w:sz w:val="24"/>
                <w:highlight w:val="none"/>
                <w:lang w:val="en-US" w:eastAsia="zh-CN"/>
              </w:rPr>
              <w:t>（十五）产生大气颗粒物及其前体物污染物的生产活动应尽量采用密闭装置，避免无组织排放；无法完全密闭的，应安装集气装置收集逸散的污染物，经净化后排放。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highlight w:val="none"/>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highlight w:val="none"/>
              </w:rPr>
              <w:t>烟气经除尘效率为99%的布袋除尘器处理后经15m高烟囱排放，颗粒物</w:t>
            </w:r>
            <w:r>
              <w:rPr>
                <w:rFonts w:hint="default" w:ascii="Times New Roman" w:hAnsi="Times New Roman" w:eastAsia="宋体" w:cs="Times New Roman"/>
                <w:color w:val="auto"/>
                <w:kern w:val="0"/>
                <w:sz w:val="24"/>
                <w:highlight w:val="none"/>
                <w:lang w:val="en-US" w:eastAsia="zh-CN"/>
              </w:rPr>
              <w:t>和烟气黑度</w:t>
            </w:r>
            <w:r>
              <w:rPr>
                <w:rFonts w:hint="default" w:ascii="Times New Roman" w:hAnsi="Times New Roman" w:eastAsia="宋体" w:cs="Times New Roman"/>
                <w:color w:val="auto"/>
                <w:kern w:val="0"/>
                <w:sz w:val="24"/>
                <w:highlight w:val="none"/>
              </w:rPr>
              <w:t>排放执行《工业炉窑大气污染物排放标准》（GB9078-1996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表2中的二级标准，SO</w:t>
            </w:r>
            <w:r>
              <w:rPr>
                <w:rFonts w:hint="default" w:ascii="Times New Roman" w:hAnsi="Times New Roman" w:eastAsia="宋体" w:cs="Times New Roman"/>
                <w:color w:val="auto"/>
                <w:kern w:val="0"/>
                <w:sz w:val="24"/>
                <w:highlight w:val="none"/>
                <w:vertAlign w:val="subscript"/>
              </w:rPr>
              <w:t>2</w:t>
            </w:r>
            <w:r>
              <w:rPr>
                <w:rFonts w:hint="default" w:ascii="Times New Roman" w:hAnsi="Times New Roman" w:eastAsia="宋体" w:cs="Times New Roman"/>
                <w:color w:val="auto"/>
                <w:kern w:val="0"/>
                <w:sz w:val="24"/>
                <w:highlight w:val="none"/>
              </w:rPr>
              <w:t>排放浓度执行《工业炉窑大气污染物排放标准》（GB9078-1996</w:t>
            </w:r>
            <w:r>
              <w:rPr>
                <w:rFonts w:hint="eastAsia" w:cs="Times New Roman"/>
                <w:color w:val="auto"/>
                <w:kern w:val="0"/>
                <w:sz w:val="24"/>
                <w:highlight w:val="none"/>
                <w:lang w:eastAsia="zh-CN"/>
              </w:rPr>
              <w:t>）</w:t>
            </w:r>
            <w:r>
              <w:rPr>
                <w:rFonts w:hint="default" w:ascii="Times New Roman" w:hAnsi="Times New Roman" w:eastAsia="宋体" w:cs="Times New Roman"/>
                <w:color w:val="auto"/>
                <w:kern w:val="0"/>
                <w:sz w:val="24"/>
                <w:highlight w:val="none"/>
              </w:rPr>
              <w:t>表4中的二级标准。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kern w:val="0"/>
                <w:sz w:val="24"/>
                <w:highlight w:val="none"/>
              </w:rPr>
              <w:t>粮食烘干、筛选、装卸、输送生产过程中</w:t>
            </w:r>
            <w:r>
              <w:rPr>
                <w:rFonts w:hint="default" w:ascii="Times New Roman" w:hAnsi="Times New Roman" w:eastAsia="宋体" w:cs="Times New Roman"/>
                <w:color w:val="auto"/>
                <w:kern w:val="0"/>
                <w:sz w:val="24"/>
                <w:highlight w:val="none"/>
                <w:lang w:val="en-US" w:eastAsia="zh-CN"/>
              </w:rPr>
              <w:t>采取</w:t>
            </w:r>
            <w:r>
              <w:rPr>
                <w:rFonts w:hint="default" w:ascii="Times New Roman" w:hAnsi="Times New Roman" w:eastAsia="宋体" w:cs="Times New Roman"/>
                <w:color w:val="auto"/>
                <w:kern w:val="0"/>
                <w:sz w:val="24"/>
                <w:highlight w:val="none"/>
              </w:rPr>
              <w:t>烘干塔钢罩收集、储粮库密闭、封闭输送等措施</w:t>
            </w:r>
            <w:r>
              <w:rPr>
                <w:rFonts w:hint="default" w:ascii="Times New Roman" w:hAnsi="Times New Roman" w:eastAsia="宋体" w:cs="Times New Roman"/>
                <w:color w:val="auto"/>
                <w:kern w:val="0"/>
                <w:sz w:val="24"/>
                <w:highlight w:val="none"/>
                <w:lang w:eastAsia="zh-CN"/>
              </w:rPr>
              <w:t>。</w:t>
            </w:r>
            <w:r>
              <w:rPr>
                <w:rFonts w:hint="default" w:ascii="Times New Roman" w:hAnsi="Times New Roman" w:eastAsia="宋体" w:cs="Times New Roman"/>
                <w:color w:val="auto"/>
                <w:sz w:val="24"/>
                <w:szCs w:val="24"/>
                <w:highlight w:val="none"/>
              </w:rPr>
              <w:t>项目采取措施符合《环境空气细颗粒物污染综合防治技术政策》（中华人民共和国环境保护部公告2013年第59号）要求。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8</w:t>
            </w:r>
            <w:r>
              <w:rPr>
                <w:rFonts w:hint="default" w:ascii="Times New Roman" w:hAnsi="Times New Roman" w:eastAsia="宋体" w:cs="Times New Roman"/>
                <w:color w:val="auto"/>
                <w:sz w:val="24"/>
                <w:szCs w:val="24"/>
                <w:highlight w:val="none"/>
                <w:lang w:val="en-US" w:eastAsia="zh-CN"/>
              </w:rPr>
              <w:t>、与《</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“十四五”生态环境保护规划》符合性分析</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规划要求深化燃煤污染治理，严格控制煤炭消费总量。加大清洁能源的供应和推广力度，推进天然气、电能替代燃煤，深入开展工业企业提标改造，推进火电、钢铁企业实施超低排放改造。县级及以上城市建成区原则上不再新建每小时35蒸吨以下的燃煤锅炉，其他地区原则上不再新建每小时10蒸吨以下的燃煤锅炉，持续巩固燃煤锅炉淘汰改造成果。组织开展重点排放单位数据报送及核查、发电行业重点排放单位开户及配额预分配和清缴。强化移动源污染治理，加强在用机动车污染治理，精细化管控道路、交通、拆迁等各类扬尘污染，降尘量大幅降低，空气质量稳步改善。</w:t>
            </w:r>
          </w:p>
          <w:p>
            <w:pPr>
              <w:pStyle w:val="38"/>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项目烘干粮食所采用的热风炉燃料为生物质成型燃料，</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color w:val="auto"/>
                <w:kern w:val="0"/>
                <w:sz w:val="24"/>
                <w:szCs w:val="24"/>
                <w:highlight w:val="none"/>
                <w:lang w:val="en-US" w:eastAsia="zh-CN" w:bidi="ar-SA"/>
              </w:rPr>
              <w:t>同时安装布袋除尘器，产生的废气经15m高排气筒排放。符合</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伊春市</w:t>
            </w:r>
            <w:r>
              <w:rPr>
                <w:rFonts w:hint="default" w:ascii="Times New Roman" w:hAnsi="Times New Roman" w:eastAsia="宋体" w:cs="Times New Roman"/>
                <w:color w:val="auto"/>
                <w:sz w:val="24"/>
                <w:szCs w:val="24"/>
                <w:highlight w:val="none"/>
                <w:lang w:val="en-US" w:eastAsia="zh-CN"/>
              </w:rPr>
              <w:t>“十四五”生态环境保护规划》</w:t>
            </w:r>
          </w:p>
          <w:p>
            <w:pPr>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420" w:firstLineChars="200"/>
              <w:jc w:val="both"/>
              <w:textAlignment w:val="auto"/>
              <w:rPr>
                <w:rFonts w:hint="default" w:ascii="Times New Roman" w:hAnsi="Times New Roman" w:cs="Times New Roman"/>
                <w:color w:val="auto"/>
                <w:kern w:val="0"/>
                <w:szCs w:val="21"/>
                <w:lang w:val="en-US" w:eastAsia="zh-CN"/>
              </w:rPr>
            </w:pPr>
          </w:p>
        </w:tc>
      </w:tr>
    </w:tbl>
    <w:p>
      <w:pPr>
        <w:spacing w:line="360" w:lineRule="auto"/>
        <w:outlineLvl w:val="9"/>
        <w:rPr>
          <w:rFonts w:hint="default" w:ascii="Times New Roman" w:hAnsi="Times New Roman" w:eastAsia="黑体" w:cs="Times New Roman"/>
          <w:color w:val="auto"/>
          <w:sz w:val="30"/>
        </w:rPr>
        <w:sectPr>
          <w:footerReference r:id="rId5"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5" w:name="_Toc3913"/>
      <w:bookmarkStart w:id="16" w:name="_Toc6120"/>
      <w:r>
        <w:rPr>
          <w:rFonts w:hint="default" w:ascii="Times New Roman" w:hAnsi="Times New Roman" w:eastAsia="黑体" w:cs="Times New Roman"/>
          <w:snapToGrid w:val="0"/>
          <w:color w:val="auto"/>
          <w:sz w:val="30"/>
          <w:szCs w:val="30"/>
        </w:rPr>
        <w:t>二、建设项目工程分析</w:t>
      </w:r>
      <w:bookmarkEnd w:id="15"/>
      <w:bookmarkEnd w:id="16"/>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29"/>
        <w:gridCol w:w="88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15" w:hRule="atLeast"/>
          <w:jc w:val="center"/>
        </w:trPr>
        <w:tc>
          <w:tcPr>
            <w:tcW w:w="829"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建设内容</w:t>
            </w:r>
          </w:p>
        </w:tc>
        <w:tc>
          <w:tcPr>
            <w:tcW w:w="8809" w:type="dxa"/>
            <w:noWrap w:val="0"/>
            <w:vAlign w:val="center"/>
          </w:tcPr>
          <w:p>
            <w:pPr>
              <w:numPr>
                <w:ilvl w:val="0"/>
                <w:numId w:val="0"/>
              </w:numPr>
              <w:spacing w:line="360" w:lineRule="auto"/>
              <w:rPr>
                <w:rFonts w:hint="default" w:ascii="Times New Roman" w:hAnsi="Times New Roman" w:eastAsia="宋体" w:cs="Times New Roman"/>
                <w:b/>
                <w:color w:val="auto"/>
                <w:kern w:val="0"/>
                <w:sz w:val="24"/>
                <w:szCs w:val="24"/>
                <w:lang w:val="en-US" w:eastAsia="zh-CN"/>
              </w:rPr>
            </w:pPr>
            <w:r>
              <w:rPr>
                <w:rFonts w:hint="default" w:ascii="Times New Roman" w:hAnsi="Times New Roman" w:eastAsia="宋体" w:cs="Times New Roman"/>
                <w:b/>
                <w:color w:val="auto"/>
                <w:kern w:val="0"/>
                <w:sz w:val="24"/>
                <w:szCs w:val="24"/>
                <w:lang w:val="en-US" w:eastAsia="zh-CN" w:bidi="ar-SA"/>
              </w:rPr>
              <w:t>1、</w:t>
            </w:r>
            <w:r>
              <w:rPr>
                <w:rFonts w:hint="default" w:ascii="Times New Roman" w:hAnsi="Times New Roman" w:eastAsia="宋体" w:cs="Times New Roman"/>
                <w:b/>
                <w:color w:val="auto"/>
                <w:kern w:val="0"/>
                <w:sz w:val="24"/>
                <w:szCs w:val="24"/>
                <w:lang w:val="en-US" w:eastAsia="zh-CN"/>
              </w:rPr>
              <w:t>项目概况</w:t>
            </w:r>
          </w:p>
          <w:p>
            <w:pPr>
              <w:spacing w:line="360" w:lineRule="auto"/>
              <w:ind w:firstLine="480" w:firstLineChars="200"/>
              <w:textAlignment w:val="baseline"/>
              <w:rPr>
                <w:rFonts w:hint="default" w:ascii="Times New Roman" w:hAnsi="Times New Roman" w:cs="Times New Roman"/>
                <w:color w:val="auto"/>
                <w:sz w:val="24"/>
                <w:highlight w:val="none"/>
                <w:u w:val="single"/>
                <w:lang w:val="en-US"/>
              </w:rPr>
            </w:pPr>
            <w:r>
              <w:rPr>
                <w:rFonts w:hint="default" w:ascii="Times New Roman" w:hAnsi="Times New Roman" w:cs="Times New Roman"/>
                <w:color w:val="auto"/>
                <w:sz w:val="24"/>
              </w:rPr>
              <w:t>（</w:t>
            </w:r>
            <w:r>
              <w:rPr>
                <w:rFonts w:hint="eastAsia" w:ascii="Times New Roman" w:hAnsi="Times New Roman" w:cs="Times New Roman"/>
                <w:color w:val="auto"/>
                <w:kern w:val="0"/>
                <w:sz w:val="24"/>
                <w:lang w:val="en-US" w:eastAsia="zh-CN"/>
              </w:rPr>
              <w:t>1</w:t>
            </w:r>
            <w:r>
              <w:rPr>
                <w:rFonts w:hint="default" w:ascii="Times New Roman" w:hAnsi="Times New Roman" w:cs="Times New Roman"/>
                <w:color w:val="auto"/>
                <w:kern w:val="0"/>
                <w:sz w:val="24"/>
              </w:rPr>
              <w:t>）</w:t>
            </w:r>
            <w:r>
              <w:rPr>
                <w:rFonts w:hint="default" w:ascii="Times New Roman" w:hAnsi="Times New Roman" w:cs="Times New Roman"/>
                <w:color w:val="auto"/>
                <w:sz w:val="24"/>
              </w:rPr>
              <w:t>占地面</w:t>
            </w:r>
            <w:r>
              <w:rPr>
                <w:rFonts w:hint="default" w:ascii="Times New Roman" w:hAnsi="Times New Roman" w:cs="Times New Roman"/>
                <w:color w:val="auto"/>
                <w:sz w:val="24"/>
                <w:szCs w:val="24"/>
              </w:rPr>
              <w:t>积：</w:t>
            </w:r>
            <w:r>
              <w:rPr>
                <w:rFonts w:hint="default" w:ascii="Times New Roman" w:hAnsi="Times New Roman" w:cs="Times New Roman"/>
                <w:color w:val="auto"/>
                <w:sz w:val="24"/>
                <w:szCs w:val="24"/>
                <w:highlight w:val="none"/>
                <w:lang w:val="en-US" w:eastAsia="zh-CN"/>
              </w:rPr>
              <w:t>本项目</w:t>
            </w:r>
            <w:r>
              <w:rPr>
                <w:rFonts w:hint="eastAsia" w:cs="Times New Roman"/>
                <w:color w:val="auto"/>
                <w:sz w:val="24"/>
                <w:szCs w:val="24"/>
                <w:highlight w:val="none"/>
                <w:lang w:val="en-US" w:eastAsia="zh-CN"/>
              </w:rPr>
              <w:t>位于原有项目占地范围内，无新增占地，原有项目</w:t>
            </w:r>
            <w:r>
              <w:rPr>
                <w:rFonts w:hint="default" w:ascii="Times New Roman" w:hAnsi="Times New Roman" w:cs="Times New Roman"/>
                <w:color w:val="auto"/>
                <w:sz w:val="24"/>
                <w:szCs w:val="24"/>
                <w:highlight w:val="none"/>
                <w:lang w:val="en-US" w:eastAsia="zh-CN"/>
              </w:rPr>
              <w:t>总占地面积</w:t>
            </w:r>
            <w:r>
              <w:rPr>
                <w:rFonts w:hint="eastAsia" w:cs="Times New Roman"/>
                <w:color w:val="auto"/>
                <w:sz w:val="24"/>
                <w:szCs w:val="24"/>
                <w:highlight w:val="none"/>
                <w:lang w:val="en-US" w:eastAsia="zh-CN"/>
              </w:rPr>
              <w:t>10000</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vertAlign w:val="baseline"/>
                <w:lang w:val="en-US" w:eastAsia="zh-CN"/>
              </w:rPr>
              <w:t>。</w:t>
            </w:r>
          </w:p>
          <w:p>
            <w:pPr>
              <w:spacing w:line="360" w:lineRule="auto"/>
              <w:ind w:firstLine="480" w:firstLineChars="200"/>
              <w:textAlignment w:val="baseline"/>
              <w:rPr>
                <w:rFonts w:hint="default" w:ascii="Times New Roman" w:hAnsi="Times New Roman" w:eastAsia="宋体" w:cs="Times New Roman"/>
                <w:color w:val="auto"/>
                <w:sz w:val="24"/>
                <w:szCs w:val="24"/>
                <w:highlight w:val="none"/>
                <w:lang w:val="en-US"/>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2</w:t>
            </w:r>
            <w:r>
              <w:rPr>
                <w:rFonts w:hint="default" w:ascii="Times New Roman" w:hAnsi="Times New Roman" w:cs="Times New Roman"/>
                <w:color w:val="auto"/>
                <w:sz w:val="24"/>
              </w:rPr>
              <w:t>）建设</w:t>
            </w:r>
            <w:r>
              <w:rPr>
                <w:rFonts w:hint="eastAsia" w:cs="Times New Roman"/>
                <w:color w:val="auto"/>
                <w:sz w:val="24"/>
                <w:lang w:val="en-US" w:eastAsia="zh-CN"/>
              </w:rPr>
              <w:t>概况</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因原有生物质热风炉与烘干塔运行年限较长，设备不稳定，因此</w:t>
            </w:r>
            <w:r>
              <w:rPr>
                <w:rFonts w:hint="eastAsia" w:ascii="Times New Roman" w:hAnsi="Times New Roman" w:eastAsia="宋体" w:cs="Times New Roman"/>
                <w:color w:val="auto"/>
                <w:sz w:val="24"/>
                <w:szCs w:val="24"/>
                <w:highlight w:val="none"/>
                <w:lang w:val="en-US" w:eastAsia="zh-CN"/>
              </w:rPr>
              <w:t>拆除原有一台</w:t>
            </w:r>
            <w:r>
              <w:rPr>
                <w:rFonts w:hint="eastAsia"/>
                <w:color w:val="auto"/>
                <w:sz w:val="24"/>
                <w:lang w:val="en-US" w:eastAsia="zh-CN"/>
              </w:rPr>
              <w:t>360万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燃生物质热风炉</w:t>
            </w:r>
            <w:r>
              <w:rPr>
                <w:rFonts w:hint="eastAsia" w:ascii="Times New Roman" w:hAnsi="Times New Roman" w:eastAsia="宋体" w:cs="Times New Roman"/>
                <w:color w:val="auto"/>
                <w:sz w:val="24"/>
                <w:szCs w:val="24"/>
                <w:highlight w:val="none"/>
                <w:lang w:val="en-US" w:eastAsia="zh-CN"/>
              </w:rPr>
              <w:t>和300t/d烘干塔，新建</w:t>
            </w:r>
            <w:r>
              <w:rPr>
                <w:rFonts w:hint="default" w:ascii="Times New Roman" w:hAnsi="Times New Roman" w:eastAsia="宋体" w:cs="Times New Roman"/>
                <w:color w:val="auto"/>
                <w:sz w:val="24"/>
                <w:szCs w:val="24"/>
                <w:highlight w:val="none"/>
                <w:lang w:val="en-US" w:eastAsia="zh-CN"/>
              </w:rPr>
              <w:t>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及相关配套设施，本项目</w:t>
            </w:r>
            <w:r>
              <w:rPr>
                <w:rFonts w:hint="eastAsia" w:ascii="Times New Roman" w:hAnsi="Times New Roman" w:eastAsia="宋体" w:cs="Times New Roman"/>
                <w:color w:val="auto"/>
                <w:sz w:val="24"/>
                <w:szCs w:val="24"/>
                <w:highlight w:val="none"/>
                <w:lang w:val="en-US" w:eastAsia="zh-CN"/>
              </w:rPr>
              <w:t>年烘干</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天，年烘干玉米</w:t>
            </w:r>
            <w:r>
              <w:rPr>
                <w:rFonts w:hint="eastAsia"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000t。</w:t>
            </w:r>
          </w:p>
          <w:p>
            <w:pPr>
              <w:adjustRightInd w:val="0"/>
              <w:snapToGrid w:val="0"/>
              <w:spacing w:line="360" w:lineRule="auto"/>
              <w:ind w:firstLine="480" w:firstLineChars="200"/>
              <w:rPr>
                <w:rFonts w:hint="default" w:ascii="Times New Roman" w:hAnsi="Times New Roman" w:cs="Times New Roman"/>
                <w:color w:val="auto"/>
                <w:sz w:val="24"/>
              </w:rPr>
            </w:pPr>
            <w:r>
              <w:rPr>
                <w:rFonts w:hint="default" w:ascii="Times New Roman" w:hAnsi="Times New Roman" w:cs="Times New Roman"/>
                <w:color w:val="auto"/>
                <w:sz w:val="24"/>
              </w:rPr>
              <w:t>（</w:t>
            </w:r>
            <w:r>
              <w:rPr>
                <w:rFonts w:hint="eastAsia" w:ascii="Times New Roman" w:hAnsi="Times New Roman" w:cs="Times New Roman"/>
                <w:color w:val="auto"/>
                <w:sz w:val="24"/>
                <w:lang w:val="en-US" w:eastAsia="zh-CN"/>
              </w:rPr>
              <w:t>3</w:t>
            </w:r>
            <w:r>
              <w:rPr>
                <w:rFonts w:hint="default" w:ascii="Times New Roman" w:hAnsi="Times New Roman" w:cs="Times New Roman"/>
                <w:color w:val="auto"/>
                <w:sz w:val="24"/>
              </w:rPr>
              <w:t>）项目投资：该项目总投资</w:t>
            </w:r>
            <w:r>
              <w:rPr>
                <w:rFonts w:hint="eastAsia" w:cs="Times New Roman"/>
                <w:color w:val="auto"/>
                <w:sz w:val="24"/>
                <w:lang w:val="en-US" w:eastAsia="zh-CN"/>
              </w:rPr>
              <w:t>5</w:t>
            </w:r>
            <w:r>
              <w:rPr>
                <w:rFonts w:hint="default" w:ascii="Times New Roman" w:hAnsi="Times New Roman" w:cs="Times New Roman"/>
                <w:color w:val="auto"/>
                <w:sz w:val="24"/>
              </w:rPr>
              <w:t>万元</w:t>
            </w:r>
          </w:p>
          <w:p>
            <w:pPr>
              <w:spacing w:line="360" w:lineRule="auto"/>
              <w:rPr>
                <w:rFonts w:hint="default" w:ascii="Times New Roman" w:hAnsi="Times New Roman" w:eastAsia="宋体" w:cs="Times New Roman"/>
                <w:b/>
                <w:color w:val="auto"/>
                <w:kern w:val="0"/>
                <w:sz w:val="24"/>
                <w:szCs w:val="24"/>
              </w:rPr>
            </w:pPr>
            <w:r>
              <w:rPr>
                <w:rFonts w:hint="default" w:ascii="Times New Roman" w:hAnsi="Times New Roman" w:eastAsia="宋体" w:cs="Times New Roman"/>
                <w:b/>
                <w:color w:val="auto"/>
                <w:kern w:val="0"/>
                <w:sz w:val="24"/>
                <w:szCs w:val="24"/>
                <w:lang w:val="en-US" w:eastAsia="zh-CN"/>
              </w:rPr>
              <w:t>2</w:t>
            </w:r>
            <w:r>
              <w:rPr>
                <w:rFonts w:hint="default" w:ascii="Times New Roman" w:hAnsi="Times New Roman" w:eastAsia="宋体" w:cs="Times New Roman"/>
                <w:b/>
                <w:color w:val="auto"/>
                <w:kern w:val="0"/>
                <w:sz w:val="24"/>
                <w:szCs w:val="24"/>
              </w:rPr>
              <w:t>、项目建设内容</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主要建设内容</w:t>
            </w:r>
            <w:r>
              <w:rPr>
                <w:rFonts w:hint="eastAsia" w:cs="Times New Roman"/>
                <w:color w:val="auto"/>
                <w:sz w:val="24"/>
                <w:szCs w:val="24"/>
                <w:highlight w:val="none"/>
                <w:lang w:val="en-US" w:eastAsia="zh-CN"/>
              </w:rPr>
              <w:t>：</w:t>
            </w:r>
            <w:r>
              <w:rPr>
                <w:rFonts w:hint="eastAsia" w:ascii="Times New Roman" w:hAnsi="Times New Roman" w:eastAsia="宋体" w:cs="Times New Roman"/>
                <w:color w:val="auto"/>
                <w:sz w:val="24"/>
                <w:szCs w:val="24"/>
                <w:highlight w:val="none"/>
                <w:lang w:val="en-US" w:eastAsia="zh-CN"/>
              </w:rPr>
              <w:t>新建</w:t>
            </w:r>
            <w:r>
              <w:rPr>
                <w:rFonts w:hint="default" w:ascii="Times New Roman" w:hAnsi="Times New Roman" w:eastAsia="宋体" w:cs="Times New Roman"/>
                <w:color w:val="auto"/>
                <w:sz w:val="24"/>
                <w:szCs w:val="24"/>
                <w:highlight w:val="none"/>
                <w:lang w:val="en-US" w:eastAsia="zh-CN"/>
              </w:rPr>
              <w:t>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及相关配套设施，本项目</w:t>
            </w:r>
            <w:r>
              <w:rPr>
                <w:rFonts w:hint="eastAsia" w:ascii="Times New Roman" w:hAnsi="Times New Roman" w:eastAsia="宋体" w:cs="Times New Roman"/>
                <w:color w:val="auto"/>
                <w:sz w:val="24"/>
                <w:szCs w:val="24"/>
                <w:highlight w:val="none"/>
                <w:lang w:val="en-US" w:eastAsia="zh-CN"/>
              </w:rPr>
              <w:t>年烘干</w:t>
            </w:r>
            <w:r>
              <w:rPr>
                <w:rFonts w:hint="eastAsia" w:cs="Times New Roman"/>
                <w:color w:val="auto"/>
                <w:sz w:val="24"/>
                <w:szCs w:val="24"/>
                <w:highlight w:val="none"/>
                <w:lang w:val="en-US" w:eastAsia="zh-CN"/>
              </w:rPr>
              <w:t>30</w:t>
            </w:r>
            <w:r>
              <w:rPr>
                <w:rFonts w:hint="eastAsia" w:ascii="Times New Roman" w:hAnsi="Times New Roman" w:eastAsia="宋体" w:cs="Times New Roman"/>
                <w:color w:val="auto"/>
                <w:sz w:val="24"/>
                <w:szCs w:val="24"/>
                <w:highlight w:val="none"/>
                <w:lang w:val="en-US" w:eastAsia="zh-CN"/>
              </w:rPr>
              <w:t>天，年烘干玉米</w:t>
            </w:r>
            <w:r>
              <w:rPr>
                <w:rFonts w:hint="eastAsia" w:cs="Times New Roman"/>
                <w:color w:val="auto"/>
                <w:sz w:val="24"/>
                <w:szCs w:val="24"/>
                <w:highlight w:val="none"/>
                <w:lang w:val="en-US" w:eastAsia="zh-CN"/>
              </w:rPr>
              <w:t>15</w:t>
            </w:r>
            <w:r>
              <w:rPr>
                <w:rFonts w:hint="eastAsia" w:ascii="Times New Roman" w:hAnsi="Times New Roman" w:eastAsia="宋体" w:cs="Times New Roman"/>
                <w:color w:val="auto"/>
                <w:sz w:val="24"/>
                <w:szCs w:val="24"/>
                <w:highlight w:val="none"/>
                <w:lang w:val="en-US" w:eastAsia="zh-CN"/>
              </w:rPr>
              <w:t>000t</w:t>
            </w:r>
            <w:r>
              <w:rPr>
                <w:rFonts w:hint="eastAsia" w:cs="Times New Roman"/>
                <w:color w:val="auto"/>
                <w:sz w:val="24"/>
                <w:szCs w:val="24"/>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本项目具体组成内容详见下表2-1。</w:t>
            </w:r>
          </w:p>
          <w:p>
            <w:pPr>
              <w:pStyle w:val="80"/>
              <w:adjustRightInd/>
              <w:snapToGrid/>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 xml:space="preserve">2-1 </w:t>
            </w:r>
            <w:r>
              <w:rPr>
                <w:rFonts w:hint="default" w:ascii="Times New Roman" w:hAnsi="Times New Roman" w:cs="Times New Roman"/>
                <w:b/>
                <w:bCs/>
                <w:color w:val="auto"/>
                <w:sz w:val="21"/>
                <w:szCs w:val="21"/>
              </w:rPr>
              <w:t>建设项目组成一览表</w:t>
            </w:r>
          </w:p>
          <w:tbl>
            <w:tblPr>
              <w:tblStyle w:val="30"/>
              <w:tblW w:w="858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
            <w:tblGrid>
              <w:gridCol w:w="1121"/>
              <w:gridCol w:w="1074"/>
              <w:gridCol w:w="5120"/>
              <w:gridCol w:w="1273"/>
            </w:tblGrid>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2195" w:type="dxa"/>
                  <w:gridSpan w:val="2"/>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建设内容</w:t>
                  </w:r>
                </w:p>
              </w:tc>
              <w:tc>
                <w:tcPr>
                  <w:tcW w:w="5120"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建设规模及内容</w:t>
                  </w: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主体工程</w:t>
                  </w: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烘干塔</w:t>
                  </w:r>
                </w:p>
              </w:tc>
              <w:tc>
                <w:tcPr>
                  <w:tcW w:w="5120"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1座烘干塔。用于玉米的烘干，烘干能力为</w:t>
                  </w:r>
                  <w:r>
                    <w:rPr>
                      <w:rFonts w:hint="eastAsia" w:cs="Times New Roman"/>
                      <w:bCs/>
                      <w:color w:val="auto"/>
                      <w:sz w:val="21"/>
                      <w:szCs w:val="21"/>
                      <w:highlight w:val="none"/>
                      <w:lang w:val="en-US" w:eastAsia="zh-CN"/>
                    </w:rPr>
                    <w:t>5</w:t>
                  </w:r>
                  <w:r>
                    <w:rPr>
                      <w:rFonts w:hint="default" w:ascii="Times New Roman" w:hAnsi="Times New Roman" w:eastAsia="宋体" w:cs="Times New Roman"/>
                      <w:bCs/>
                      <w:color w:val="auto"/>
                      <w:sz w:val="21"/>
                      <w:szCs w:val="21"/>
                      <w:highlight w:val="none"/>
                      <w:lang w:val="en-US" w:eastAsia="zh-CN"/>
                    </w:rPr>
                    <w:t>00t/d</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扩建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热风炉房</w:t>
                  </w:r>
                </w:p>
              </w:tc>
              <w:tc>
                <w:tcPr>
                  <w:tcW w:w="5120"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1座，砖混结构，建筑面积为</w:t>
                  </w:r>
                  <w:r>
                    <w:rPr>
                      <w:rFonts w:hint="eastAsia" w:cs="Times New Roman"/>
                      <w:bCs/>
                      <w:color w:val="auto"/>
                      <w:sz w:val="21"/>
                      <w:szCs w:val="21"/>
                      <w:highlight w:val="none"/>
                      <w:lang w:val="en-US" w:eastAsia="zh-CN"/>
                    </w:rPr>
                    <w:t>300</w:t>
                  </w:r>
                  <w:r>
                    <w:rPr>
                      <w:rFonts w:hint="default" w:ascii="Times New Roman" w:hAnsi="Times New Roman" w:eastAsia="宋体" w:cs="Times New Roman"/>
                      <w:bCs/>
                      <w:color w:val="auto"/>
                      <w:sz w:val="21"/>
                      <w:szCs w:val="21"/>
                      <w:highlight w:val="none"/>
                      <w:lang w:val="en-US" w:eastAsia="zh-CN"/>
                    </w:rPr>
                    <w:t>m</w:t>
                  </w:r>
                  <w:r>
                    <w:rPr>
                      <w:rFonts w:hint="default" w:ascii="Times New Roman" w:hAnsi="Times New Roman" w:eastAsia="宋体" w:cs="Times New Roman"/>
                      <w:bCs/>
                      <w:color w:val="auto"/>
                      <w:sz w:val="21"/>
                      <w:szCs w:val="21"/>
                      <w:highlight w:val="none"/>
                      <w:vertAlign w:val="superscript"/>
                      <w:lang w:val="en-US" w:eastAsia="zh-CN"/>
                    </w:rPr>
                    <w:t>2</w:t>
                  </w:r>
                  <w:r>
                    <w:rPr>
                      <w:rFonts w:hint="default" w:ascii="Times New Roman" w:hAnsi="Times New Roman" w:eastAsia="宋体" w:cs="Times New Roman"/>
                      <w:bCs/>
                      <w:color w:val="auto"/>
                      <w:sz w:val="21"/>
                      <w:szCs w:val="21"/>
                      <w:highlight w:val="none"/>
                      <w:lang w:val="en-US" w:eastAsia="zh-CN"/>
                    </w:rPr>
                    <w:t>，热风炉配备布袋除尘器和15m高烟囱。</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热风炉房依托现有，热风炉</w:t>
                  </w:r>
                  <w:r>
                    <w:rPr>
                      <w:rFonts w:hint="eastAsia" w:ascii="Times New Roman" w:hAnsi="Times New Roman" w:eastAsia="宋体" w:cs="Times New Roman"/>
                      <w:bCs/>
                      <w:color w:val="auto"/>
                      <w:sz w:val="21"/>
                      <w:szCs w:val="21"/>
                      <w:highlight w:val="none"/>
                      <w:lang w:val="en-US" w:eastAsia="zh-CN"/>
                    </w:rPr>
                    <w:t>新</w:t>
                  </w:r>
                  <w:r>
                    <w:rPr>
                      <w:rFonts w:hint="default" w:ascii="Times New Roman" w:hAnsi="Times New Roman" w:eastAsia="宋体" w:cs="Times New Roman"/>
                      <w:bCs/>
                      <w:color w:val="auto"/>
                      <w:sz w:val="21"/>
                      <w:szCs w:val="21"/>
                      <w:highlight w:val="none"/>
                      <w:lang w:val="en-US" w:eastAsia="zh-CN"/>
                    </w:rPr>
                    <w:t>建</w:t>
                  </w:r>
                  <w:r>
                    <w:rPr>
                      <w:rFonts w:hint="eastAsia" w:cs="Times New Roman"/>
                      <w:bCs/>
                      <w:color w:val="auto"/>
                      <w:sz w:val="21"/>
                      <w:szCs w:val="21"/>
                      <w:highlight w:val="none"/>
                      <w:lang w:val="en-US" w:eastAsia="zh-CN"/>
                    </w:rPr>
                    <w:t>，布袋除尘器改造，15m高烟囱依托原有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121" w:type="dxa"/>
                  <w:vMerge w:val="restart"/>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储运工程</w:t>
                  </w: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灰渣</w:t>
                  </w:r>
                  <w:r>
                    <w:rPr>
                      <w:rFonts w:hint="default" w:ascii="Times New Roman" w:hAnsi="Times New Roman" w:eastAsia="宋体" w:cs="Times New Roman"/>
                      <w:color w:val="auto"/>
                      <w:sz w:val="21"/>
                      <w:szCs w:val="21"/>
                      <w:highlight w:val="none"/>
                      <w:lang w:eastAsia="zh-CN"/>
                    </w:rPr>
                    <w:t>库</w:t>
                  </w:r>
                </w:p>
              </w:tc>
              <w:tc>
                <w:tcPr>
                  <w:tcW w:w="5120"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位于热风炉房内，</w:t>
                  </w:r>
                  <w:r>
                    <w:rPr>
                      <w:rFonts w:hint="default" w:ascii="Times New Roman" w:hAnsi="Times New Roman" w:eastAsia="宋体" w:cs="Times New Roman"/>
                      <w:color w:val="auto"/>
                      <w:spacing w:val="-2"/>
                      <w:sz w:val="21"/>
                      <w:szCs w:val="21"/>
                      <w:highlight w:val="none"/>
                      <w:lang w:eastAsia="zh-CN"/>
                    </w:rPr>
                    <w:t>建筑面积为</w:t>
                  </w:r>
                  <w:r>
                    <w:rPr>
                      <w:rFonts w:hint="default" w:ascii="Times New Roman" w:hAnsi="Times New Roman" w:eastAsia="宋体" w:cs="Times New Roman"/>
                      <w:color w:val="auto"/>
                      <w:spacing w:val="-2"/>
                      <w:sz w:val="21"/>
                      <w:szCs w:val="21"/>
                      <w:highlight w:val="none"/>
                      <w:lang w:val="en-US" w:eastAsia="zh-CN"/>
                    </w:rPr>
                    <w:t>20m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rPr>
                    <w:t>灰渣暂存于灰渣</w:t>
                  </w:r>
                  <w:r>
                    <w:rPr>
                      <w:rFonts w:hint="default" w:ascii="Times New Roman" w:hAnsi="Times New Roman" w:eastAsia="宋体" w:cs="Times New Roman"/>
                      <w:color w:val="auto"/>
                      <w:spacing w:val="-2"/>
                      <w:sz w:val="21"/>
                      <w:szCs w:val="21"/>
                      <w:highlight w:val="none"/>
                      <w:lang w:eastAsia="zh-CN"/>
                    </w:rPr>
                    <w:t>库内，最大存储能力为</w:t>
                  </w:r>
                  <w:r>
                    <w:rPr>
                      <w:rFonts w:hint="default" w:ascii="Times New Roman" w:hAnsi="Times New Roman" w:eastAsia="宋体" w:cs="Times New Roman"/>
                      <w:color w:val="auto"/>
                      <w:spacing w:val="-2"/>
                      <w:sz w:val="21"/>
                      <w:szCs w:val="21"/>
                      <w:highlight w:val="none"/>
                      <w:lang w:val="en-US" w:eastAsia="zh-CN"/>
                    </w:rPr>
                    <w:t>25 t</w:t>
                  </w:r>
                </w:p>
              </w:tc>
              <w:tc>
                <w:tcPr>
                  <w:tcW w:w="1273"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kern w:val="2"/>
                      <w:sz w:val="21"/>
                      <w:szCs w:val="21"/>
                      <w:highlight w:val="none"/>
                      <w:lang w:val="en-US" w:eastAsia="zh-CN" w:bidi="ar-SA"/>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074" w:type="dxa"/>
                  <w:tcBorders>
                    <w:tl2br w:val="nil"/>
                    <w:tr2bl w:val="nil"/>
                  </w:tcBorders>
                  <w:shd w:val="clear" w:color="auto" w:fill="FFFFFF"/>
                  <w:noWrap w:val="0"/>
                  <w:vAlign w:val="center"/>
                </w:tcPr>
                <w:p>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原粮囤</w:t>
                  </w:r>
                </w:p>
              </w:tc>
              <w:tc>
                <w:tcPr>
                  <w:tcW w:w="5120" w:type="dxa"/>
                  <w:tcBorders>
                    <w:tl2br w:val="nil"/>
                    <w:tr2bl w:val="nil"/>
                  </w:tcBorders>
                  <w:shd w:val="clear" w:color="auto" w:fill="FFFFFF"/>
                  <w:noWrap w:val="0"/>
                  <w:vAlign w:val="center"/>
                </w:tcPr>
                <w:p>
                  <w:pPr>
                    <w:pStyle w:val="52"/>
                    <w:spacing w:line="240" w:lineRule="auto"/>
                    <w:ind w:firstLine="0" w:firstLineChars="0"/>
                    <w:jc w:val="center"/>
                    <w:rPr>
                      <w:rFonts w:hint="default" w:cs="Times New Roman"/>
                      <w:color w:val="auto"/>
                      <w:spacing w:val="-2"/>
                      <w:sz w:val="21"/>
                      <w:szCs w:val="21"/>
                      <w:highlight w:val="none"/>
                      <w:lang w:val="en-US" w:eastAsia="zh-CN"/>
                    </w:rPr>
                  </w:pPr>
                  <w:r>
                    <w:rPr>
                      <w:rFonts w:hint="eastAsia" w:cs="Times New Roman"/>
                      <w:color w:val="auto"/>
                      <w:spacing w:val="-2"/>
                      <w:sz w:val="21"/>
                      <w:szCs w:val="21"/>
                      <w:highlight w:val="none"/>
                      <w:lang w:val="en-US" w:eastAsia="zh-CN"/>
                    </w:rPr>
                    <w:t>扩建一座原粮囤，建筑面积100m</w:t>
                  </w:r>
                  <w:r>
                    <w:rPr>
                      <w:rFonts w:hint="eastAsia" w:cs="Times New Roman"/>
                      <w:color w:val="auto"/>
                      <w:spacing w:val="-2"/>
                      <w:sz w:val="21"/>
                      <w:szCs w:val="21"/>
                      <w:highlight w:val="none"/>
                      <w:vertAlign w:val="superscript"/>
                      <w:lang w:val="en-US" w:eastAsia="zh-CN"/>
                    </w:rPr>
                    <w:t>2</w:t>
                  </w:r>
                  <w:r>
                    <w:rPr>
                      <w:rFonts w:hint="eastAsia" w:cs="Times New Roman"/>
                      <w:color w:val="auto"/>
                      <w:spacing w:val="-2"/>
                      <w:sz w:val="21"/>
                      <w:szCs w:val="21"/>
                      <w:highlight w:val="none"/>
                      <w:lang w:val="en-US" w:eastAsia="zh-CN"/>
                    </w:rPr>
                    <w:t>，用于储存原粮，储存能力500t。</w:t>
                  </w:r>
                </w:p>
              </w:tc>
              <w:tc>
                <w:tcPr>
                  <w:tcW w:w="1273" w:type="dxa"/>
                  <w:tcBorders>
                    <w:tl2br w:val="nil"/>
                    <w:tr2bl w:val="nil"/>
                  </w:tcBorders>
                  <w:shd w:val="clear" w:color="auto" w:fill="FFFFFF"/>
                  <w:noWrap w:val="0"/>
                  <w:vAlign w:val="center"/>
                </w:tcPr>
                <w:p>
                  <w:pPr>
                    <w:spacing w:line="240" w:lineRule="auto"/>
                    <w:ind w:firstLine="0" w:firstLineChars="0"/>
                    <w:jc w:val="center"/>
                    <w:rPr>
                      <w:rFonts w:hint="default" w:cs="Times New Roman"/>
                      <w:color w:val="auto"/>
                      <w:spacing w:val="-2"/>
                      <w:kern w:val="2"/>
                      <w:sz w:val="21"/>
                      <w:szCs w:val="21"/>
                      <w:highlight w:val="none"/>
                      <w:lang w:val="en-US" w:eastAsia="zh-CN" w:bidi="ar-SA"/>
                    </w:rPr>
                  </w:pPr>
                  <w:r>
                    <w:rPr>
                      <w:rFonts w:hint="eastAsia" w:cs="Times New Roman"/>
                      <w:color w:val="auto"/>
                      <w:spacing w:val="-2"/>
                      <w:kern w:val="2"/>
                      <w:sz w:val="21"/>
                      <w:szCs w:val="21"/>
                      <w:highlight w:val="none"/>
                      <w:lang w:val="en-US" w:eastAsia="zh-CN" w:bidi="ar-SA"/>
                    </w:rPr>
                    <w:t>扩建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258"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1074" w:type="dxa"/>
                  <w:tcBorders>
                    <w:tl2br w:val="nil"/>
                    <w:tr2bl w:val="nil"/>
                  </w:tcBorders>
                  <w:shd w:val="clear" w:color="auto" w:fill="FFFFFF"/>
                  <w:noWrap w:val="0"/>
                  <w:vAlign w:val="center"/>
                </w:tcPr>
                <w:p>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成品库</w:t>
                  </w:r>
                </w:p>
              </w:tc>
              <w:tc>
                <w:tcPr>
                  <w:tcW w:w="5120" w:type="dxa"/>
                  <w:tcBorders>
                    <w:tl2br w:val="nil"/>
                    <w:tr2bl w:val="nil"/>
                  </w:tcBorders>
                  <w:shd w:val="clear" w:color="auto" w:fill="FFFFFF"/>
                  <w:noWrap w:val="0"/>
                  <w:vAlign w:val="center"/>
                </w:tcPr>
                <w:p>
                  <w:pPr>
                    <w:pStyle w:val="52"/>
                    <w:spacing w:line="240" w:lineRule="auto"/>
                    <w:ind w:firstLine="0" w:firstLineChars="0"/>
                    <w:jc w:val="center"/>
                    <w:rPr>
                      <w:rFonts w:hint="default" w:cs="Times New Roman"/>
                      <w:color w:val="auto"/>
                      <w:spacing w:val="-2"/>
                      <w:sz w:val="21"/>
                      <w:szCs w:val="21"/>
                      <w:highlight w:val="none"/>
                      <w:lang w:val="en-US" w:eastAsia="zh-CN"/>
                    </w:rPr>
                  </w:pPr>
                  <w:r>
                    <w:rPr>
                      <w:rFonts w:hint="eastAsia" w:cs="Times New Roman"/>
                      <w:color w:val="auto"/>
                      <w:sz w:val="21"/>
                      <w:szCs w:val="21"/>
                      <w:highlight w:val="none"/>
                      <w:lang w:val="en-US" w:eastAsia="zh-CN"/>
                    </w:rPr>
                    <w:t>钢结构，用于储存成品，</w:t>
                  </w:r>
                  <w:r>
                    <w:rPr>
                      <w:rFonts w:hint="eastAsia" w:ascii="Times New Roman" w:hAnsi="Times New Roman" w:cs="Times New Roman"/>
                      <w:color w:val="auto"/>
                      <w:sz w:val="21"/>
                      <w:szCs w:val="21"/>
                      <w:highlight w:val="none"/>
                      <w:lang w:val="en-US" w:eastAsia="zh-CN"/>
                    </w:rPr>
                    <w:t>建筑面积</w:t>
                  </w:r>
                  <w:r>
                    <w:rPr>
                      <w:rFonts w:hint="eastAsia" w:cs="Times New Roman"/>
                      <w:color w:val="auto"/>
                      <w:sz w:val="21"/>
                      <w:szCs w:val="21"/>
                      <w:highlight w:val="none"/>
                      <w:lang w:val="en-US" w:eastAsia="zh-CN"/>
                    </w:rPr>
                    <w:t>1080</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vertAlign w:val="superscript"/>
                      <w:lang w:val="en-US" w:eastAsia="zh-CN"/>
                    </w:rPr>
                    <w:t>2</w:t>
                  </w:r>
                  <w:r>
                    <w:rPr>
                      <w:rFonts w:hint="eastAsia"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vertAlign w:val="baseline"/>
                      <w:lang w:val="en-US" w:eastAsia="zh-CN"/>
                    </w:rPr>
                    <w:t>储存能力为</w:t>
                  </w:r>
                  <w:r>
                    <w:rPr>
                      <w:rFonts w:hint="eastAsia" w:cs="Times New Roman"/>
                      <w:color w:val="auto"/>
                      <w:sz w:val="21"/>
                      <w:szCs w:val="21"/>
                      <w:highlight w:val="none"/>
                      <w:vertAlign w:val="baseline"/>
                      <w:lang w:val="en-US" w:eastAsia="zh-CN"/>
                    </w:rPr>
                    <w:t>12000</w:t>
                  </w:r>
                  <w:r>
                    <w:rPr>
                      <w:rFonts w:hint="default" w:ascii="Times New Roman" w:hAnsi="Times New Roman" w:eastAsia="宋体" w:cs="Times New Roman"/>
                      <w:color w:val="auto"/>
                      <w:sz w:val="21"/>
                      <w:szCs w:val="21"/>
                      <w:highlight w:val="none"/>
                      <w:vertAlign w:val="baseline"/>
                      <w:lang w:val="en-US" w:eastAsia="zh-CN"/>
                    </w:rPr>
                    <w:t>t</w:t>
                  </w:r>
                  <w:r>
                    <w:rPr>
                      <w:rFonts w:hint="default" w:ascii="Times New Roman" w:hAnsi="Times New Roman" w:eastAsia="宋体" w:cs="Times New Roman"/>
                      <w:color w:val="auto"/>
                      <w:sz w:val="21"/>
                      <w:szCs w:val="21"/>
                      <w:highlight w:val="none"/>
                      <w:lang w:val="en-US" w:eastAsia="zh-CN"/>
                    </w:rPr>
                    <w:t>；</w:t>
                  </w:r>
                </w:p>
              </w:tc>
              <w:tc>
                <w:tcPr>
                  <w:tcW w:w="1273" w:type="dxa"/>
                  <w:tcBorders>
                    <w:tl2br w:val="nil"/>
                    <w:tr2bl w:val="nil"/>
                  </w:tcBorders>
                  <w:shd w:val="clear" w:color="auto" w:fill="FFFFFF"/>
                  <w:noWrap w:val="0"/>
                  <w:vAlign w:val="center"/>
                </w:tcPr>
                <w:p>
                  <w:pPr>
                    <w:spacing w:line="240" w:lineRule="auto"/>
                    <w:ind w:firstLine="0" w:firstLineChars="0"/>
                    <w:jc w:val="center"/>
                    <w:rPr>
                      <w:rFonts w:hint="eastAsia" w:cs="Times New Roman"/>
                      <w:color w:val="auto"/>
                      <w:spacing w:val="-2"/>
                      <w:kern w:val="2"/>
                      <w:sz w:val="21"/>
                      <w:szCs w:val="21"/>
                      <w:highlight w:val="none"/>
                      <w:lang w:val="en-US" w:eastAsia="zh-CN" w:bidi="ar-SA"/>
                    </w:rPr>
                  </w:pPr>
                  <w:r>
                    <w:rPr>
                      <w:rFonts w:hint="eastAsia" w:cs="Times New Roman"/>
                      <w:color w:val="auto"/>
                      <w:spacing w:val="-2"/>
                      <w:kern w:val="2"/>
                      <w:sz w:val="21"/>
                      <w:szCs w:val="21"/>
                      <w:highlight w:val="none"/>
                      <w:lang w:val="en-US" w:eastAsia="zh-CN" w:bidi="ar-SA"/>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shd w:val="clear" w:color="auto" w:fill="auto"/>
                  <w:noWrap w:val="0"/>
                  <w:vAlign w:val="center"/>
                </w:tcPr>
                <w:p>
                  <w:pPr>
                    <w:widowControl/>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燃料库</w:t>
                  </w:r>
                </w:p>
              </w:tc>
              <w:tc>
                <w:tcPr>
                  <w:tcW w:w="5120" w:type="dxa"/>
                  <w:tcBorders>
                    <w:tl2br w:val="nil"/>
                    <w:tr2bl w:val="nil"/>
                  </w:tcBorders>
                  <w:shd w:val="clear" w:color="auto" w:fill="FFFFFF"/>
                  <w:noWrap w:val="0"/>
                  <w:vAlign w:val="center"/>
                </w:tcPr>
                <w:p>
                  <w:pPr>
                    <w:pStyle w:val="52"/>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sz w:val="21"/>
                      <w:szCs w:val="21"/>
                      <w:highlight w:val="none"/>
                      <w:lang w:val="en-US" w:eastAsia="zh-CN"/>
                    </w:rPr>
                    <w:t>位于热风炉房内，</w:t>
                  </w:r>
                  <w:r>
                    <w:rPr>
                      <w:rFonts w:hint="default" w:ascii="Times New Roman" w:hAnsi="Times New Roman" w:eastAsia="宋体" w:cs="Times New Roman"/>
                      <w:color w:val="auto"/>
                      <w:spacing w:val="-2"/>
                      <w:sz w:val="21"/>
                      <w:szCs w:val="21"/>
                      <w:highlight w:val="none"/>
                      <w:lang w:eastAsia="zh-CN"/>
                    </w:rPr>
                    <w:t>建筑面积为</w:t>
                  </w:r>
                  <w:r>
                    <w:rPr>
                      <w:rFonts w:hint="eastAsia" w:eastAsia="宋体" w:cs="Times New Roman"/>
                      <w:color w:val="auto"/>
                      <w:spacing w:val="-2"/>
                      <w:sz w:val="21"/>
                      <w:szCs w:val="21"/>
                      <w:highlight w:val="none"/>
                      <w:lang w:val="en-US" w:eastAsia="zh-CN"/>
                    </w:rPr>
                    <w:t>20</w:t>
                  </w:r>
                  <w:r>
                    <w:rPr>
                      <w:rFonts w:hint="default" w:ascii="Times New Roman" w:hAnsi="Times New Roman" w:eastAsia="宋体" w:cs="Times New Roman"/>
                      <w:color w:val="auto"/>
                      <w:spacing w:val="-2"/>
                      <w:sz w:val="21"/>
                      <w:szCs w:val="21"/>
                      <w:highlight w:val="none"/>
                      <w:lang w:val="en-US" w:eastAsia="zh-CN"/>
                    </w:rPr>
                    <w:t>m</w:t>
                  </w:r>
                  <w:r>
                    <w:rPr>
                      <w:rFonts w:hint="default" w:ascii="Times New Roman" w:hAnsi="Times New Roman" w:eastAsia="宋体" w:cs="Times New Roman"/>
                      <w:color w:val="auto"/>
                      <w:spacing w:val="-2"/>
                      <w:sz w:val="21"/>
                      <w:szCs w:val="21"/>
                      <w:highlight w:val="none"/>
                      <w:vertAlign w:val="superscript"/>
                      <w:lang w:val="en-US" w:eastAsia="zh-CN"/>
                    </w:rPr>
                    <w:t>2</w:t>
                  </w:r>
                  <w:r>
                    <w:rPr>
                      <w:rFonts w:hint="default" w:ascii="Times New Roman" w:hAnsi="Times New Roman" w:eastAsia="宋体" w:cs="Times New Roman"/>
                      <w:color w:val="auto"/>
                      <w:spacing w:val="-2"/>
                      <w:sz w:val="21"/>
                      <w:szCs w:val="21"/>
                      <w:highlight w:val="none"/>
                      <w:lang w:val="en-US" w:eastAsia="zh-CN"/>
                    </w:rPr>
                    <w:t>，</w:t>
                  </w:r>
                  <w:r>
                    <w:rPr>
                      <w:rFonts w:hint="default" w:ascii="Times New Roman" w:hAnsi="Times New Roman" w:eastAsia="宋体" w:cs="Times New Roman"/>
                      <w:color w:val="auto"/>
                      <w:spacing w:val="-2"/>
                      <w:sz w:val="21"/>
                      <w:szCs w:val="21"/>
                      <w:highlight w:val="none"/>
                      <w:lang w:eastAsia="zh-CN"/>
                    </w:rPr>
                    <w:t>燃料</w:t>
                  </w:r>
                  <w:r>
                    <w:rPr>
                      <w:rFonts w:hint="default" w:ascii="Times New Roman" w:hAnsi="Times New Roman" w:eastAsia="宋体" w:cs="Times New Roman"/>
                      <w:color w:val="auto"/>
                      <w:spacing w:val="-2"/>
                      <w:sz w:val="21"/>
                      <w:szCs w:val="21"/>
                      <w:highlight w:val="none"/>
                    </w:rPr>
                    <w:t>暂存于</w:t>
                  </w:r>
                  <w:r>
                    <w:rPr>
                      <w:rFonts w:hint="default" w:ascii="Times New Roman" w:hAnsi="Times New Roman" w:eastAsia="宋体" w:cs="Times New Roman"/>
                      <w:color w:val="auto"/>
                      <w:spacing w:val="-2"/>
                      <w:sz w:val="21"/>
                      <w:szCs w:val="21"/>
                      <w:highlight w:val="none"/>
                      <w:lang w:eastAsia="zh-CN"/>
                    </w:rPr>
                    <w:t>燃料库内，最大存储能力为</w:t>
                  </w:r>
                  <w:r>
                    <w:rPr>
                      <w:rFonts w:hint="eastAsia" w:eastAsia="宋体" w:cs="Times New Roman"/>
                      <w:color w:val="auto"/>
                      <w:spacing w:val="-2"/>
                      <w:sz w:val="21"/>
                      <w:szCs w:val="21"/>
                      <w:highlight w:val="none"/>
                      <w:lang w:val="en-US" w:eastAsia="zh-CN"/>
                    </w:rPr>
                    <w:t>50</w:t>
                  </w:r>
                  <w:r>
                    <w:rPr>
                      <w:rFonts w:hint="default" w:ascii="Times New Roman" w:hAnsi="Times New Roman" w:eastAsia="宋体" w:cs="Times New Roman"/>
                      <w:color w:val="auto"/>
                      <w:spacing w:val="-2"/>
                      <w:sz w:val="21"/>
                      <w:szCs w:val="21"/>
                      <w:highlight w:val="none"/>
                      <w:lang w:val="en-US" w:eastAsia="zh-CN"/>
                    </w:rPr>
                    <w:t xml:space="preserve"> t</w:t>
                  </w:r>
                </w:p>
              </w:tc>
              <w:tc>
                <w:tcPr>
                  <w:tcW w:w="1273" w:type="dxa"/>
                  <w:tcBorders>
                    <w:tl2br w:val="nil"/>
                    <w:tr2bl w:val="nil"/>
                  </w:tcBorders>
                  <w:shd w:val="clear" w:color="auto" w:fill="FFFFFF"/>
                  <w:noWrap w:val="0"/>
                  <w:vAlign w:val="center"/>
                </w:tcPr>
                <w:p>
                  <w:pPr>
                    <w:spacing w:line="240" w:lineRule="auto"/>
                    <w:ind w:firstLine="0" w:firstLineChars="0"/>
                    <w:jc w:val="center"/>
                    <w:rPr>
                      <w:rFonts w:hint="default" w:ascii="Times New Roman" w:hAnsi="Times New Roman" w:eastAsia="宋体" w:cs="Times New Roman"/>
                      <w:color w:val="auto"/>
                      <w:spacing w:val="-2"/>
                      <w:kern w:val="2"/>
                      <w:sz w:val="21"/>
                      <w:szCs w:val="21"/>
                      <w:highlight w:val="none"/>
                      <w:lang w:val="en-US" w:eastAsia="zh-CN" w:bidi="ar-SA"/>
                    </w:rPr>
                  </w:pPr>
                  <w:r>
                    <w:rPr>
                      <w:rFonts w:hint="eastAsia" w:cs="Times New Roman"/>
                      <w:color w:val="auto"/>
                      <w:spacing w:val="-2"/>
                      <w:kern w:val="2"/>
                      <w:sz w:val="21"/>
                      <w:szCs w:val="21"/>
                      <w:highlight w:val="none"/>
                      <w:lang w:val="en-US" w:eastAsia="zh-CN" w:bidi="ar-SA"/>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公用工程</w:t>
                  </w:r>
                </w:p>
              </w:tc>
              <w:tc>
                <w:tcPr>
                  <w:tcW w:w="107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供水</w:t>
                  </w:r>
                </w:p>
              </w:tc>
              <w:tc>
                <w:tcPr>
                  <w:tcW w:w="5120"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项目无生产用水，</w:t>
                  </w:r>
                  <w:r>
                    <w:rPr>
                      <w:rFonts w:hint="eastAsia" w:cs="Times New Roman"/>
                      <w:color w:val="auto"/>
                      <w:sz w:val="21"/>
                      <w:szCs w:val="21"/>
                      <w:highlight w:val="none"/>
                      <w:lang w:val="en-US" w:eastAsia="zh-CN"/>
                    </w:rPr>
                    <w:t>无新增生活用水</w:t>
                  </w: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排水</w:t>
                  </w:r>
                </w:p>
              </w:tc>
              <w:tc>
                <w:tcPr>
                  <w:tcW w:w="5120"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本项目无新增生活污水</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bCs/>
                      <w:color w:val="auto"/>
                      <w:sz w:val="21"/>
                      <w:szCs w:val="21"/>
                      <w:highlight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yellow"/>
                    </w:rPr>
                  </w:pPr>
                  <w:r>
                    <w:rPr>
                      <w:rFonts w:hint="default" w:ascii="Times New Roman" w:hAnsi="Times New Roman" w:eastAsia="宋体" w:cs="Times New Roman"/>
                      <w:color w:val="auto"/>
                      <w:sz w:val="21"/>
                      <w:szCs w:val="21"/>
                      <w:highlight w:val="none"/>
                    </w:rPr>
                    <w:t>供热</w:t>
                  </w:r>
                </w:p>
              </w:tc>
              <w:tc>
                <w:tcPr>
                  <w:tcW w:w="5120"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生产供热由一台</w:t>
                  </w:r>
                  <w:r>
                    <w:rPr>
                      <w:rFonts w:hint="eastAsia" w:cs="Times New Roman"/>
                      <w:color w:val="auto"/>
                      <w:sz w:val="21"/>
                      <w:szCs w:val="21"/>
                      <w:highlight w:val="none"/>
                      <w:lang w:val="en-US" w:eastAsia="zh-CN"/>
                    </w:rPr>
                    <w:t>600万kcal/h</w:t>
                  </w:r>
                  <w:r>
                    <w:rPr>
                      <w:rFonts w:hint="default" w:ascii="Times New Roman" w:hAnsi="Times New Roman" w:eastAsia="宋体" w:cs="Times New Roman"/>
                      <w:color w:val="auto"/>
                      <w:sz w:val="21"/>
                      <w:szCs w:val="21"/>
                      <w:highlight w:val="none"/>
                      <w:lang w:val="en-US" w:eastAsia="zh-CN"/>
                    </w:rPr>
                    <w:t>燃生物质热风炉提供</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eastAsia" w:cs="Times New Roman"/>
                      <w:color w:val="auto"/>
                      <w:spacing w:val="-2"/>
                      <w:kern w:val="2"/>
                      <w:sz w:val="21"/>
                      <w:szCs w:val="21"/>
                      <w:highlight w:val="none"/>
                      <w:lang w:val="en-US" w:eastAsia="zh-CN" w:bidi="ar-SA"/>
                    </w:rPr>
                    <w:t>扩建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shd w:val="clear" w:color="auto" w:fill="auto"/>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供电</w:t>
                  </w:r>
                </w:p>
              </w:tc>
              <w:tc>
                <w:tcPr>
                  <w:tcW w:w="5120"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用电由</w:t>
                  </w:r>
                  <w:r>
                    <w:rPr>
                      <w:rFonts w:hint="default" w:ascii="Times New Roman" w:hAnsi="Times New Roman" w:eastAsia="宋体" w:cs="Times New Roman"/>
                      <w:color w:val="auto"/>
                      <w:sz w:val="21"/>
                      <w:szCs w:val="21"/>
                      <w:highlight w:val="none"/>
                      <w:lang w:val="en-US" w:eastAsia="zh-CN"/>
                    </w:rPr>
                    <w:t>国家电网</w:t>
                  </w:r>
                  <w:r>
                    <w:rPr>
                      <w:rFonts w:hint="default" w:ascii="Times New Roman" w:hAnsi="Times New Roman" w:eastAsia="宋体" w:cs="Times New Roman"/>
                      <w:color w:val="auto"/>
                      <w:sz w:val="21"/>
                      <w:szCs w:val="21"/>
                      <w:highlight w:val="none"/>
                      <w:lang w:eastAsia="zh-CN"/>
                    </w:rPr>
                    <w:t>提供</w:t>
                  </w:r>
                </w:p>
              </w:tc>
              <w:tc>
                <w:tcPr>
                  <w:tcW w:w="1273" w:type="dxa"/>
                  <w:tcBorders>
                    <w:tl2br w:val="nil"/>
                    <w:tr2bl w:val="nil"/>
                  </w:tcBorders>
                  <w:shd w:val="clear" w:color="auto" w:fill="FFFFFF"/>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90" w:hRule="atLeast"/>
              </w:trPr>
              <w:tc>
                <w:tcPr>
                  <w:tcW w:w="1121" w:type="dxa"/>
                  <w:vMerge w:val="restart"/>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环保工程</w:t>
                  </w:r>
                </w:p>
              </w:tc>
              <w:tc>
                <w:tcPr>
                  <w:tcW w:w="107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废气防治措施</w:t>
                  </w:r>
                </w:p>
              </w:tc>
              <w:tc>
                <w:tcPr>
                  <w:tcW w:w="5120" w:type="dxa"/>
                  <w:tcBorders>
                    <w:tl2br w:val="nil"/>
                    <w:tr2bl w:val="nil"/>
                  </w:tcBorders>
                  <w:noWrap w:val="0"/>
                  <w:vAlign w:val="center"/>
                </w:tcPr>
                <w:p>
                  <w:pPr>
                    <w:keepNext w:val="0"/>
                    <w:keepLines w:val="0"/>
                    <w:widowControl/>
                    <w:suppressLineNumbers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热风炉烟气</w:t>
                  </w:r>
                  <w:r>
                    <w:rPr>
                      <w:rFonts w:hint="default" w:ascii="Times New Roman" w:hAnsi="Times New Roman" w:eastAsia="宋体" w:cs="Times New Roman"/>
                      <w:bCs/>
                      <w:color w:val="auto"/>
                      <w:sz w:val="21"/>
                      <w:szCs w:val="21"/>
                      <w:highlight w:val="none"/>
                    </w:rPr>
                    <w:t>经</w:t>
                  </w:r>
                  <w:r>
                    <w:rPr>
                      <w:rFonts w:hint="default" w:ascii="Times New Roman" w:hAnsi="Times New Roman" w:eastAsia="宋体" w:cs="Times New Roman"/>
                      <w:bCs/>
                      <w:color w:val="auto"/>
                      <w:sz w:val="21"/>
                      <w:szCs w:val="21"/>
                      <w:highlight w:val="none"/>
                      <w:lang w:eastAsia="zh-CN"/>
                    </w:rPr>
                    <w:t>布袋除尘器处理后由</w:t>
                  </w:r>
                  <w:r>
                    <w:rPr>
                      <w:rFonts w:hint="default" w:ascii="Times New Roman" w:hAnsi="Times New Roman" w:eastAsia="宋体" w:cs="Times New Roman"/>
                      <w:bCs/>
                      <w:color w:val="auto"/>
                      <w:sz w:val="21"/>
                      <w:szCs w:val="21"/>
                      <w:highlight w:val="none"/>
                    </w:rPr>
                    <w:t>15m高</w:t>
                  </w:r>
                  <w:r>
                    <w:rPr>
                      <w:rFonts w:hint="default" w:ascii="Times New Roman" w:hAnsi="Times New Roman" w:eastAsia="宋体" w:cs="Times New Roman"/>
                      <w:bCs/>
                      <w:color w:val="auto"/>
                      <w:sz w:val="21"/>
                      <w:szCs w:val="21"/>
                      <w:highlight w:val="none"/>
                      <w:lang w:eastAsia="zh-CN"/>
                    </w:rPr>
                    <w:t>烟囱</w:t>
                  </w:r>
                  <w:r>
                    <w:rPr>
                      <w:rFonts w:hint="default" w:ascii="Times New Roman" w:hAnsi="Times New Roman" w:eastAsia="宋体" w:cs="Times New Roman"/>
                      <w:bCs/>
                      <w:color w:val="auto"/>
                      <w:sz w:val="21"/>
                      <w:szCs w:val="21"/>
                      <w:highlight w:val="none"/>
                    </w:rPr>
                    <w:t>高空排放</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kern w:val="0"/>
                      <w:sz w:val="21"/>
                      <w:szCs w:val="21"/>
                      <w:highlight w:val="none"/>
                      <w:lang w:val="en-US" w:eastAsia="zh-CN" w:bidi="ar"/>
                    </w:rPr>
                    <w:t>烟尘、SO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vertAlign w:val="baseline"/>
                      <w:lang w:val="en-US" w:eastAsia="zh-CN" w:bidi="ar"/>
                    </w:rPr>
                    <w:t>、烟气黑度均</w:t>
                  </w:r>
                  <w:r>
                    <w:rPr>
                      <w:rFonts w:hint="default" w:ascii="Times New Roman" w:hAnsi="Times New Roman" w:eastAsia="宋体" w:cs="Times New Roman"/>
                      <w:color w:val="auto"/>
                      <w:kern w:val="0"/>
                      <w:sz w:val="21"/>
                      <w:szCs w:val="21"/>
                      <w:highlight w:val="none"/>
                      <w:lang w:val="en-US" w:eastAsia="zh-CN" w:bidi="ar"/>
                    </w:rPr>
                    <w:t>满足《工业炉窑大气污染物排放标准》(GB9078-1996)中二类区标准要求</w:t>
                  </w:r>
                  <w:r>
                    <w:rPr>
                      <w:rFonts w:hint="eastAsia" w:ascii="宋体" w:hAnsi="宋体" w:eastAsia="宋体" w:cs="宋体"/>
                      <w:color w:val="auto"/>
                      <w:kern w:val="0"/>
                      <w:sz w:val="21"/>
                      <w:szCs w:val="21"/>
                      <w:highlight w:val="none"/>
                      <w:lang w:val="en-US" w:eastAsia="zh-CN" w:bidi="ar"/>
                    </w:rPr>
                    <w:t xml:space="preserve">（烟尘 </w:t>
                  </w:r>
                  <w:r>
                    <w:rPr>
                      <w:rFonts w:hint="default" w:ascii="Times New Roman" w:hAnsi="Times New Roman" w:eastAsia="宋体" w:cs="Times New Roman"/>
                      <w:color w:val="auto"/>
                      <w:kern w:val="0"/>
                      <w:sz w:val="21"/>
                      <w:szCs w:val="21"/>
                      <w:highlight w:val="none"/>
                      <w:lang w:val="en-US" w:eastAsia="zh-CN" w:bidi="ar"/>
                    </w:rPr>
                    <w:t>200mg/m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宋体" w:hAnsi="宋体" w:eastAsia="宋体" w:cs="宋体"/>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SO</w:t>
                  </w:r>
                  <w:r>
                    <w:rPr>
                      <w:rFonts w:hint="default" w:ascii="Times New Roman" w:hAnsi="Times New Roman" w:eastAsia="宋体" w:cs="Times New Roman"/>
                      <w:color w:val="auto"/>
                      <w:kern w:val="0"/>
                      <w:sz w:val="21"/>
                      <w:szCs w:val="21"/>
                      <w:highlight w:val="none"/>
                      <w:vertAlign w:val="subscript"/>
                      <w:lang w:val="en-US" w:eastAsia="zh-CN" w:bidi="ar"/>
                    </w:rPr>
                    <w:t>2</w:t>
                  </w:r>
                  <w:r>
                    <w:rPr>
                      <w:rFonts w:hint="default" w:ascii="Times New Roman" w:hAnsi="Times New Roman" w:eastAsia="宋体" w:cs="Times New Roman"/>
                      <w:color w:val="auto"/>
                      <w:kern w:val="0"/>
                      <w:sz w:val="21"/>
                      <w:szCs w:val="21"/>
                      <w:highlight w:val="none"/>
                      <w:lang w:val="en-US" w:eastAsia="zh-CN" w:bidi="ar"/>
                    </w:rPr>
                    <w:t xml:space="preserve"> 850mg/m</w:t>
                  </w:r>
                  <w:r>
                    <w:rPr>
                      <w:rFonts w:hint="default" w:ascii="Times New Roman" w:hAnsi="Times New Roman" w:eastAsia="宋体" w:cs="Times New Roman"/>
                      <w:color w:val="auto"/>
                      <w:kern w:val="0"/>
                      <w:sz w:val="21"/>
                      <w:szCs w:val="21"/>
                      <w:highlight w:val="none"/>
                      <w:vertAlign w:val="superscript"/>
                      <w:lang w:val="en-US" w:eastAsia="zh-CN" w:bidi="ar"/>
                    </w:rPr>
                    <w:t>3</w:t>
                  </w:r>
                  <w:r>
                    <w:rPr>
                      <w:rFonts w:hint="eastAsia" w:ascii="Times New Roman" w:hAnsi="Times New Roman" w:eastAsia="宋体" w:cs="Times New Roman"/>
                      <w:color w:val="auto"/>
                      <w:kern w:val="0"/>
                      <w:sz w:val="21"/>
                      <w:szCs w:val="21"/>
                      <w:highlight w:val="none"/>
                      <w:vertAlign w:val="baseline"/>
                      <w:lang w:val="en-US" w:eastAsia="zh-CN" w:bidi="ar"/>
                    </w:rPr>
                    <w:t>、烟气黑度（林格曼级）1</w:t>
                  </w:r>
                  <w:r>
                    <w:rPr>
                      <w:rFonts w:hint="eastAsia" w:ascii="宋体" w:hAnsi="宋体" w:eastAsia="宋体" w:cs="宋体"/>
                      <w:color w:val="auto"/>
                      <w:kern w:val="0"/>
                      <w:sz w:val="21"/>
                      <w:szCs w:val="21"/>
                      <w:highlight w:val="none"/>
                      <w:lang w:val="en-US" w:eastAsia="zh-CN" w:bidi="ar"/>
                    </w:rPr>
                    <w:t>）</w:t>
                  </w:r>
                  <w:r>
                    <w:rPr>
                      <w:rFonts w:hint="eastAsia" w:ascii="宋体" w:hAnsi="宋体" w:cs="宋体"/>
                      <w:color w:val="auto"/>
                      <w:kern w:val="0"/>
                      <w:sz w:val="21"/>
                      <w:szCs w:val="21"/>
                      <w:highlight w:val="none"/>
                      <w:lang w:val="en-US" w:eastAsia="zh-CN" w:bidi="ar"/>
                    </w:rPr>
                    <w:t>，</w:t>
                  </w:r>
                </w:p>
              </w:tc>
              <w:tc>
                <w:tcPr>
                  <w:tcW w:w="1273" w:type="dxa"/>
                  <w:tcBorders>
                    <w:tl2br w:val="nil"/>
                    <w:tr2bl w:val="nil"/>
                  </w:tcBorders>
                  <w:noWrap w:val="0"/>
                  <w:vAlign w:val="center"/>
                </w:tcPr>
                <w:p>
                  <w:pPr>
                    <w:pStyle w:val="52"/>
                    <w:spacing w:line="240" w:lineRule="auto"/>
                    <w:ind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改造</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噪声防治措施</w:t>
                  </w:r>
                </w:p>
              </w:tc>
              <w:tc>
                <w:tcPr>
                  <w:tcW w:w="5120"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选用低噪声设备，采取隔声、减振等措施，厂房密闭</w:t>
                  </w:r>
                  <w:r>
                    <w:rPr>
                      <w:rFonts w:hint="default" w:ascii="Times New Roman" w:hAnsi="Times New Roman" w:eastAsia="宋体" w:cs="Times New Roman"/>
                      <w:color w:val="auto"/>
                      <w:sz w:val="21"/>
                      <w:szCs w:val="21"/>
                      <w:highlight w:val="none"/>
                      <w:lang w:eastAsia="zh-CN"/>
                    </w:rPr>
                    <w:t>等措施，本项目厂界噪声可满足《工业企业厂界环境噪声排放标准》（GB12348-2008）中</w:t>
                  </w:r>
                  <w:r>
                    <w:rPr>
                      <w:rFonts w:hint="eastAsia" w:ascii="Times New Roman" w:hAnsi="Times New Roman" w:eastAsia="宋体" w:cs="Times New Roman"/>
                      <w:color w:val="auto"/>
                      <w:sz w:val="21"/>
                      <w:szCs w:val="21"/>
                      <w:highlight w:val="none"/>
                      <w:lang w:val="en-US" w:eastAsia="zh-CN"/>
                    </w:rPr>
                    <w:t>2</w:t>
                  </w:r>
                  <w:r>
                    <w:rPr>
                      <w:rFonts w:hint="default" w:ascii="Times New Roman" w:hAnsi="Times New Roman" w:eastAsia="宋体" w:cs="Times New Roman"/>
                      <w:color w:val="auto"/>
                      <w:sz w:val="21"/>
                      <w:szCs w:val="21"/>
                      <w:highlight w:val="none"/>
                      <w:lang w:eastAsia="zh-CN"/>
                    </w:rPr>
                    <w:t>类标准要求</w:t>
                  </w: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eastAsia="zh-CN"/>
                    </w:rPr>
                  </w:pPr>
                  <w:r>
                    <w:rPr>
                      <w:rFonts w:hint="eastAsia" w:cs="Times New Roman"/>
                      <w:color w:val="auto"/>
                      <w:spacing w:val="-2"/>
                      <w:kern w:val="2"/>
                      <w:sz w:val="21"/>
                      <w:szCs w:val="21"/>
                      <w:highlight w:val="none"/>
                      <w:lang w:val="en-US" w:eastAsia="zh-CN" w:bidi="ar-SA"/>
                    </w:rPr>
                    <w:t>扩建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2" w:space="0"/>
                </w:tblBorders>
                <w:tblLayout w:type="fixed"/>
                <w:tblCellMar>
                  <w:top w:w="0" w:type="dxa"/>
                  <w:left w:w="108" w:type="dxa"/>
                  <w:bottom w:w="0" w:type="dxa"/>
                  <w:right w:w="108" w:type="dxa"/>
                </w:tblCellMar>
              </w:tblPrEx>
              <w:trPr>
                <w:trHeight w:val="0" w:hRule="atLeast"/>
              </w:trPr>
              <w:tc>
                <w:tcPr>
                  <w:tcW w:w="1121" w:type="dxa"/>
                  <w:vMerge w:val="continue"/>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p>
              </w:tc>
              <w:tc>
                <w:tcPr>
                  <w:tcW w:w="107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固体废物防治措施</w:t>
                  </w:r>
                </w:p>
              </w:tc>
              <w:tc>
                <w:tcPr>
                  <w:tcW w:w="5120"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pacing w:val="-10"/>
                      <w:sz w:val="21"/>
                      <w:szCs w:val="21"/>
                      <w:highlight w:val="none"/>
                      <w:lang w:val="en-US" w:eastAsia="zh-CN"/>
                    </w:rPr>
                    <w:t>炉渣、除尘灰集中收集，外售综合利用。</w:t>
                  </w:r>
                  <w:r>
                    <w:rPr>
                      <w:rFonts w:hint="eastAsia" w:cs="Times New Roman"/>
                      <w:bCs/>
                      <w:color w:val="auto"/>
                      <w:spacing w:val="-10"/>
                      <w:sz w:val="21"/>
                      <w:szCs w:val="21"/>
                      <w:highlight w:val="none"/>
                      <w:lang w:val="en-US" w:eastAsia="zh-CN"/>
                    </w:rPr>
                    <w:t>废布袋由厂家回收处置。</w:t>
                  </w:r>
                </w:p>
              </w:tc>
              <w:tc>
                <w:tcPr>
                  <w:tcW w:w="1273"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rPr>
                  </w:pPr>
                  <w:r>
                    <w:rPr>
                      <w:rFonts w:hint="eastAsia" w:cs="Times New Roman"/>
                      <w:color w:val="auto"/>
                      <w:sz w:val="21"/>
                      <w:szCs w:val="21"/>
                      <w:highlight w:val="none"/>
                      <w:lang w:val="en-US" w:eastAsia="zh-CN"/>
                    </w:rPr>
                    <w:t>/</w:t>
                  </w:r>
                </w:p>
              </w:tc>
            </w:tr>
          </w:tbl>
          <w:p>
            <w:pPr>
              <w:spacing w:line="240" w:lineRule="auto"/>
              <w:ind w:firstLine="3162" w:firstLineChars="1500"/>
              <w:jc w:val="both"/>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default" w:ascii="Times New Roman" w:hAnsi="Times New Roman" w:cs="Times New Roman"/>
                <w:b/>
                <w:bCs/>
                <w:color w:val="auto"/>
                <w:szCs w:val="21"/>
                <w:highlight w:val="none"/>
              </w:rPr>
              <w:t>-2  产品方案表</w:t>
            </w:r>
          </w:p>
          <w:tbl>
            <w:tblPr>
              <w:tblStyle w:val="30"/>
              <w:tblpPr w:leftFromText="181" w:rightFromText="181" w:bottomFromText="142" w:vertAnchor="text" w:tblpXSpec="center" w:tblpY="1"/>
              <w:tblW w:w="859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54"/>
              <w:gridCol w:w="1998"/>
              <w:gridCol w:w="1678"/>
              <w:gridCol w:w="2060"/>
              <w:gridCol w:w="2103"/>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75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998" w:type="dxa"/>
                  <w:noWrap w:val="0"/>
                  <w:vAlign w:val="center"/>
                </w:tcPr>
                <w:p>
                  <w:pPr>
                    <w:jc w:val="center"/>
                    <w:rPr>
                      <w:rFonts w:hint="default" w:ascii="Times New Roman" w:hAnsi="Times New Roman" w:cs="Times New Roman"/>
                      <w:color w:val="auto"/>
                      <w:szCs w:val="21"/>
                      <w:highlight w:val="none"/>
                    </w:rPr>
                  </w:pPr>
                  <w:r>
                    <w:rPr>
                      <w:rFonts w:hint="eastAsia" w:cs="Times New Roman"/>
                      <w:color w:val="auto"/>
                      <w:szCs w:val="21"/>
                      <w:highlight w:val="none"/>
                      <w:lang w:val="en-US" w:eastAsia="zh-CN"/>
                    </w:rPr>
                    <w:t>原有项目</w:t>
                  </w:r>
                  <w:r>
                    <w:rPr>
                      <w:rFonts w:hint="default" w:ascii="Times New Roman" w:hAnsi="Times New Roman" w:cs="Times New Roman"/>
                      <w:color w:val="auto"/>
                      <w:szCs w:val="21"/>
                      <w:highlight w:val="none"/>
                    </w:rPr>
                    <w:t>产品名称</w:t>
                  </w:r>
                </w:p>
              </w:tc>
              <w:tc>
                <w:tcPr>
                  <w:tcW w:w="1678" w:type="dxa"/>
                  <w:noWrap w:val="0"/>
                  <w:vAlign w:val="center"/>
                </w:tcPr>
                <w:p>
                  <w:pPr>
                    <w:jc w:val="center"/>
                    <w:rPr>
                      <w:rFonts w:hint="default" w:ascii="Times New Roman" w:hAnsi="Times New Roman" w:eastAsia="宋体" w:cs="Times New Roman"/>
                      <w:color w:val="FF0000"/>
                      <w:szCs w:val="21"/>
                      <w:highlight w:val="none"/>
                      <w:lang w:val="en-US" w:eastAsia="zh-CN"/>
                    </w:rPr>
                  </w:pPr>
                  <w:r>
                    <w:rPr>
                      <w:rFonts w:hint="eastAsia" w:cs="Times New Roman"/>
                      <w:color w:val="FF0000"/>
                      <w:szCs w:val="21"/>
                      <w:highlight w:val="none"/>
                      <w:lang w:val="en-US" w:eastAsia="zh-CN"/>
                    </w:rPr>
                    <w:t>烘干能力</w:t>
                  </w:r>
                </w:p>
              </w:tc>
              <w:tc>
                <w:tcPr>
                  <w:tcW w:w="2060" w:type="dxa"/>
                  <w:noWrap w:val="0"/>
                  <w:vAlign w:val="center"/>
                </w:tcPr>
                <w:p>
                  <w:pPr>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本项目建成后产品</w:t>
                  </w:r>
                </w:p>
              </w:tc>
              <w:tc>
                <w:tcPr>
                  <w:tcW w:w="2103" w:type="dxa"/>
                  <w:noWrap w:val="0"/>
                  <w:vAlign w:val="center"/>
                </w:tcPr>
                <w:p>
                  <w:pPr>
                    <w:jc w:val="center"/>
                    <w:rPr>
                      <w:rFonts w:hint="default" w:ascii="Times New Roman" w:hAnsi="Times New Roman" w:cs="Times New Roman"/>
                      <w:color w:val="FF0000"/>
                      <w:szCs w:val="21"/>
                      <w:highlight w:val="none"/>
                    </w:rPr>
                  </w:pPr>
                  <w:r>
                    <w:rPr>
                      <w:rFonts w:hint="eastAsia" w:cs="Times New Roman"/>
                      <w:color w:val="FF0000"/>
                      <w:szCs w:val="21"/>
                      <w:highlight w:val="none"/>
                      <w:lang w:val="en-US" w:eastAsia="zh-CN"/>
                    </w:rPr>
                    <w:t>烘干能力</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754" w:type="dxa"/>
                  <w:noWrap w:val="0"/>
                  <w:vAlign w:val="center"/>
                </w:tcPr>
                <w:p>
                  <w:pPr>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998" w:type="dxa"/>
                  <w:noWrap w:val="0"/>
                  <w:vAlign w:val="center"/>
                </w:tcPr>
                <w:p>
                  <w:pPr>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玉米</w:t>
                  </w:r>
                </w:p>
              </w:tc>
              <w:tc>
                <w:tcPr>
                  <w:tcW w:w="1678" w:type="dxa"/>
                  <w:noWrap w:val="0"/>
                  <w:vAlign w:val="center"/>
                </w:tcPr>
                <w:p>
                  <w:pPr>
                    <w:jc w:val="center"/>
                    <w:rPr>
                      <w:rFonts w:hint="default" w:ascii="Times New Roman" w:hAnsi="Times New Roman" w:eastAsia="宋体" w:cs="Times New Roman"/>
                      <w:color w:val="FF0000"/>
                      <w:szCs w:val="21"/>
                      <w:highlight w:val="none"/>
                      <w:lang w:val="en-US" w:eastAsia="zh-CN"/>
                    </w:rPr>
                  </w:pPr>
                  <w:r>
                    <w:rPr>
                      <w:rFonts w:hint="eastAsia" w:cs="Times New Roman"/>
                      <w:color w:val="FF0000"/>
                      <w:kern w:val="0"/>
                      <w:highlight w:val="none"/>
                      <w:lang w:val="en-US" w:eastAsia="zh-CN"/>
                    </w:rPr>
                    <w:t>10500t/a</w:t>
                  </w:r>
                </w:p>
              </w:tc>
              <w:tc>
                <w:tcPr>
                  <w:tcW w:w="2060" w:type="dxa"/>
                  <w:noWrap w:val="0"/>
                  <w:vAlign w:val="center"/>
                </w:tcPr>
                <w:p>
                  <w:pPr>
                    <w:jc w:val="center"/>
                    <w:rPr>
                      <w:rFonts w:hint="eastAsia" w:cs="Times New Roman"/>
                      <w:color w:val="auto"/>
                      <w:kern w:val="0"/>
                      <w:highlight w:val="none"/>
                      <w:lang w:val="en-US" w:eastAsia="zh-CN"/>
                    </w:rPr>
                  </w:pPr>
                  <w:r>
                    <w:rPr>
                      <w:rFonts w:hint="default" w:ascii="Times New Roman" w:hAnsi="Times New Roman" w:cs="Times New Roman"/>
                      <w:color w:val="auto"/>
                      <w:szCs w:val="21"/>
                      <w:highlight w:val="none"/>
                      <w:lang w:eastAsia="zh-CN"/>
                    </w:rPr>
                    <w:t>玉米</w:t>
                  </w:r>
                </w:p>
              </w:tc>
              <w:tc>
                <w:tcPr>
                  <w:tcW w:w="2103" w:type="dxa"/>
                  <w:noWrap w:val="0"/>
                  <w:vAlign w:val="center"/>
                </w:tcPr>
                <w:p>
                  <w:pPr>
                    <w:jc w:val="center"/>
                    <w:rPr>
                      <w:rFonts w:hint="default" w:ascii="Times New Roman" w:hAnsi="Times New Roman" w:eastAsia="宋体" w:cs="Times New Roman"/>
                      <w:color w:val="FF0000"/>
                      <w:szCs w:val="21"/>
                      <w:highlight w:val="none"/>
                      <w:lang w:val="en-US" w:eastAsia="zh-CN"/>
                    </w:rPr>
                  </w:pPr>
                  <w:r>
                    <w:rPr>
                      <w:rFonts w:hint="eastAsia" w:cs="Times New Roman"/>
                      <w:color w:val="FF0000"/>
                      <w:kern w:val="0"/>
                      <w:highlight w:val="none"/>
                      <w:lang w:val="en-US" w:eastAsia="zh-CN"/>
                    </w:rPr>
                    <w:t>15000t/a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Ex>
              <w:trPr>
                <w:cantSplit/>
              </w:trPr>
              <w:tc>
                <w:tcPr>
                  <w:tcW w:w="754" w:type="dxa"/>
                  <w:noWrap w:val="0"/>
                  <w:vAlign w:val="center"/>
                </w:tcPr>
                <w:p>
                  <w:pPr>
                    <w:jc w:val="center"/>
                    <w:rPr>
                      <w:rFonts w:hint="eastAsia"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w:t>
                  </w:r>
                </w:p>
              </w:tc>
              <w:tc>
                <w:tcPr>
                  <w:tcW w:w="1998" w:type="dxa"/>
                  <w:noWrap w:val="0"/>
                  <w:vAlign w:val="center"/>
                </w:tcPr>
                <w:p>
                  <w:pPr>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小麦</w:t>
                  </w:r>
                </w:p>
              </w:tc>
              <w:tc>
                <w:tcPr>
                  <w:tcW w:w="1678" w:type="dxa"/>
                  <w:noWrap w:val="0"/>
                  <w:vAlign w:val="center"/>
                </w:tcPr>
                <w:p>
                  <w:pPr>
                    <w:jc w:val="center"/>
                    <w:rPr>
                      <w:rFonts w:hint="default" w:cs="Times New Roman"/>
                      <w:color w:val="FF0000"/>
                      <w:kern w:val="0"/>
                      <w:highlight w:val="none"/>
                      <w:lang w:val="en-US" w:eastAsia="zh-CN"/>
                    </w:rPr>
                  </w:pPr>
                  <w:r>
                    <w:rPr>
                      <w:rFonts w:hint="eastAsia" w:cs="Times New Roman"/>
                      <w:color w:val="FF0000"/>
                      <w:kern w:val="0"/>
                      <w:highlight w:val="none"/>
                      <w:lang w:val="en-US" w:eastAsia="zh-CN"/>
                    </w:rPr>
                    <w:t>1500t/a</w:t>
                  </w:r>
                </w:p>
              </w:tc>
              <w:tc>
                <w:tcPr>
                  <w:tcW w:w="2060" w:type="dxa"/>
                  <w:noWrap w:val="0"/>
                  <w:vAlign w:val="center"/>
                </w:tcPr>
                <w:p>
                  <w:pPr>
                    <w:jc w:val="center"/>
                    <w:rPr>
                      <w:rFonts w:hint="default" w:ascii="Times New Roman" w:hAnsi="Times New Roman" w:cs="Times New Roman"/>
                      <w:color w:val="auto"/>
                      <w:szCs w:val="21"/>
                      <w:highlight w:val="none"/>
                      <w:lang w:eastAsia="zh-CN"/>
                    </w:rPr>
                  </w:pPr>
                </w:p>
              </w:tc>
              <w:tc>
                <w:tcPr>
                  <w:tcW w:w="2103" w:type="dxa"/>
                  <w:noWrap w:val="0"/>
                  <w:vAlign w:val="center"/>
                </w:tcPr>
                <w:p>
                  <w:pPr>
                    <w:jc w:val="center"/>
                    <w:rPr>
                      <w:rFonts w:hint="eastAsia" w:cs="Times New Roman"/>
                      <w:color w:val="FF0000"/>
                      <w:kern w:val="0"/>
                      <w:highlight w:val="none"/>
                      <w:lang w:val="en-US" w:eastAsia="zh-CN"/>
                    </w:rPr>
                  </w:pPr>
                </w:p>
              </w:tc>
            </w:tr>
          </w:tbl>
          <w:p>
            <w:pPr>
              <w:spacing w:line="360" w:lineRule="auto"/>
              <w:ind w:firstLine="482" w:firstLineChars="200"/>
              <w:rPr>
                <w:rFonts w:hint="default" w:ascii="Times New Roman" w:hAnsi="Times New Roman" w:cs="Times New Roman"/>
                <w:b/>
                <w:bCs/>
                <w:color w:val="auto"/>
                <w:kern w:val="0"/>
                <w:sz w:val="24"/>
                <w:szCs w:val="24"/>
                <w:lang w:val="en-US" w:eastAsia="zh-CN"/>
              </w:rPr>
            </w:pPr>
            <w:r>
              <w:rPr>
                <w:rFonts w:hint="default" w:ascii="Times New Roman" w:hAnsi="Times New Roman" w:cs="Times New Roman"/>
                <w:b/>
                <w:bCs/>
                <w:color w:val="auto"/>
                <w:kern w:val="0"/>
                <w:sz w:val="24"/>
                <w:szCs w:val="24"/>
                <w:lang w:val="en-US" w:eastAsia="zh-CN"/>
              </w:rPr>
              <w:t>主要生产设备及设备参数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本项目主要生产及辅助设备见下表。</w:t>
            </w:r>
          </w:p>
          <w:p>
            <w:pPr>
              <w:pStyle w:val="80"/>
              <w:adjustRightInd/>
              <w:snapToGrid/>
              <w:spacing w:line="240" w:lineRule="auto"/>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表</w:t>
            </w:r>
            <w:r>
              <w:rPr>
                <w:rFonts w:hint="default" w:ascii="Times New Roman" w:hAnsi="Times New Roman" w:cs="Times New Roman"/>
                <w:b/>
                <w:bCs/>
                <w:color w:val="auto"/>
                <w:sz w:val="21"/>
                <w:szCs w:val="21"/>
                <w:lang w:val="en-US" w:eastAsia="zh-CN"/>
              </w:rPr>
              <w:t>2-</w:t>
            </w:r>
            <w:r>
              <w:rPr>
                <w:rFonts w:hint="eastAsia" w:cs="Times New Roman"/>
                <w:b/>
                <w:bCs/>
                <w:color w:val="auto"/>
                <w:sz w:val="21"/>
                <w:szCs w:val="21"/>
                <w:lang w:val="en-US" w:eastAsia="zh-CN"/>
              </w:rPr>
              <w:t>3</w:t>
            </w:r>
            <w:r>
              <w:rPr>
                <w:rFonts w:hint="default" w:ascii="Times New Roman" w:hAnsi="Times New Roman" w:cs="Times New Roman"/>
                <w:b/>
                <w:bCs/>
                <w:color w:val="auto"/>
                <w:sz w:val="21"/>
                <w:szCs w:val="21"/>
                <w:lang w:eastAsia="zh-CN"/>
              </w:rPr>
              <w:t>主要设备</w:t>
            </w:r>
            <w:r>
              <w:rPr>
                <w:rFonts w:hint="default" w:ascii="Times New Roman" w:hAnsi="Times New Roman" w:cs="Times New Roman"/>
                <w:b/>
                <w:bCs/>
                <w:color w:val="auto"/>
                <w:sz w:val="21"/>
                <w:szCs w:val="21"/>
              </w:rPr>
              <w:t>一览表</w:t>
            </w:r>
          </w:p>
          <w:tbl>
            <w:tblPr>
              <w:tblStyle w:val="30"/>
              <w:tblW w:w="859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3327"/>
              <w:gridCol w:w="1222"/>
              <w:gridCol w:w="1426"/>
              <w:gridCol w:w="142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3327"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名称</w:t>
                  </w:r>
                </w:p>
              </w:tc>
              <w:tc>
                <w:tcPr>
                  <w:tcW w:w="1222"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单位</w:t>
                  </w:r>
                </w:p>
              </w:tc>
              <w:tc>
                <w:tcPr>
                  <w:tcW w:w="1426"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数量</w:t>
                  </w:r>
                </w:p>
              </w:tc>
              <w:tc>
                <w:tcPr>
                  <w:tcW w:w="1427" w:type="dxa"/>
                  <w:noWrap w:val="0"/>
                  <w:vAlign w:val="center"/>
                </w:tcPr>
                <w:p>
                  <w:pPr>
                    <w:adjustRightInd w:val="0"/>
                    <w:snapToGrid w:val="0"/>
                    <w:jc w:val="center"/>
                    <w:rPr>
                      <w:rFonts w:hint="eastAsia" w:ascii="Times New Roman" w:hAnsi="Times New Roman" w:eastAsia="宋体" w:cs="Times New Roman"/>
                      <w:color w:val="auto"/>
                      <w:szCs w:val="21"/>
                      <w:lang w:val="en-US" w:eastAsia="zh-CN"/>
                    </w:rPr>
                  </w:pPr>
                  <w:r>
                    <w:rPr>
                      <w:rFonts w:hint="eastAsia" w:cs="Times New Roman"/>
                      <w:color w:val="auto"/>
                      <w:szCs w:val="21"/>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c>
                <w:tcPr>
                  <w:tcW w:w="332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rPr>
                    <w:t>清理筛</w:t>
                  </w:r>
                  <w:r>
                    <w:rPr>
                      <w:rFonts w:hint="default" w:ascii="Times New Roman" w:hAnsi="Times New Roman" w:cs="Times New Roman"/>
                      <w:color w:val="auto"/>
                      <w:szCs w:val="21"/>
                      <w:lang w:val="en-US" w:eastAsia="zh-CN"/>
                    </w:rPr>
                    <w:t>分机及配套除尘器</w:t>
                  </w:r>
                </w:p>
              </w:tc>
              <w:tc>
                <w:tcPr>
                  <w:tcW w:w="122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42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1</w:t>
                  </w:r>
                </w:p>
              </w:tc>
              <w:tc>
                <w:tcPr>
                  <w:tcW w:w="1427"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332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传送带</w:t>
                  </w:r>
                </w:p>
              </w:tc>
              <w:tc>
                <w:tcPr>
                  <w:tcW w:w="1222"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42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3</w:t>
                  </w:r>
                </w:p>
              </w:tc>
              <w:tc>
                <w:tcPr>
                  <w:tcW w:w="1427" w:type="dxa"/>
                  <w:noWrap w:val="0"/>
                  <w:vAlign w:val="center"/>
                </w:tcPr>
                <w:p>
                  <w:pPr>
                    <w:adjustRightInd w:val="0"/>
                    <w:snapToGrid w:val="0"/>
                    <w:jc w:val="center"/>
                    <w:rPr>
                      <w:rFonts w:hint="eastAsia" w:cs="Times New Roman"/>
                      <w:color w:val="auto"/>
                      <w:szCs w:val="21"/>
                      <w:lang w:val="en-US" w:eastAsia="zh-CN"/>
                    </w:rPr>
                  </w:pPr>
                  <w:r>
                    <w:rPr>
                      <w:rFonts w:hint="eastAsia" w:ascii="Times New Roman" w:hAnsi="Times New Roman" w:cs="Times New Roman"/>
                      <w:color w:val="auto"/>
                      <w:szCs w:val="21"/>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3</w:t>
                  </w:r>
                </w:p>
              </w:tc>
              <w:tc>
                <w:tcPr>
                  <w:tcW w:w="3327"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提升机</w:t>
                  </w:r>
                </w:p>
              </w:tc>
              <w:tc>
                <w:tcPr>
                  <w:tcW w:w="122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台</w:t>
                  </w:r>
                </w:p>
              </w:tc>
              <w:tc>
                <w:tcPr>
                  <w:tcW w:w="1426"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kern w:val="2"/>
                      <w:sz w:val="21"/>
                      <w:szCs w:val="21"/>
                      <w:lang w:val="en-US" w:eastAsia="zh-CN" w:bidi="ar-SA"/>
                    </w:rPr>
                    <w:t>2</w:t>
                  </w:r>
                </w:p>
              </w:tc>
              <w:tc>
                <w:tcPr>
                  <w:tcW w:w="1427"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eastAsia" w:ascii="Times New Roman" w:hAnsi="Times New Roman" w:cs="Times New Roman"/>
                      <w:color w:val="auto"/>
                      <w:szCs w:val="21"/>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default" w:ascii="Times New Roman" w:hAnsi="Times New Roman" w:cs="Times New Roman"/>
                      <w:color w:val="auto"/>
                      <w:szCs w:val="21"/>
                      <w:lang w:val="en-US" w:eastAsia="zh-CN"/>
                    </w:rPr>
                    <w:t>4</w:t>
                  </w:r>
                </w:p>
              </w:tc>
              <w:tc>
                <w:tcPr>
                  <w:tcW w:w="3327" w:type="dxa"/>
                  <w:noWrap w:val="0"/>
                  <w:vAlign w:val="center"/>
                </w:tcPr>
                <w:p>
                  <w:pPr>
                    <w:widowControl/>
                    <w:jc w:val="center"/>
                    <w:textAlignment w:val="center"/>
                    <w:rPr>
                      <w:rFonts w:hint="default" w:ascii="Times New Roman" w:hAnsi="Times New Roman" w:eastAsia="宋体"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风机</w:t>
                  </w:r>
                </w:p>
              </w:tc>
              <w:tc>
                <w:tcPr>
                  <w:tcW w:w="1222" w:type="dxa"/>
                  <w:noWrap w:val="0"/>
                  <w:vAlign w:val="center"/>
                </w:tcPr>
                <w:p>
                  <w:pPr>
                    <w:adjustRightInd w:val="0"/>
                    <w:snapToGrid w:val="0"/>
                    <w:jc w:val="center"/>
                    <w:rPr>
                      <w:rFonts w:hint="default" w:ascii="Times New Roman" w:hAnsi="Times New Roman"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426" w:type="dxa"/>
                  <w:noWrap w:val="0"/>
                  <w:vAlign w:val="center"/>
                </w:tcPr>
                <w:p>
                  <w:pPr>
                    <w:adjustRightInd w:val="0"/>
                    <w:snapToGrid w:val="0"/>
                    <w:jc w:val="center"/>
                    <w:rPr>
                      <w:rFonts w:hint="default" w:cs="Times New Roman"/>
                      <w:color w:val="auto"/>
                      <w:kern w:val="2"/>
                      <w:sz w:val="21"/>
                      <w:szCs w:val="21"/>
                      <w:lang w:val="en-US" w:eastAsia="zh-CN" w:bidi="ar-SA"/>
                    </w:rPr>
                  </w:pPr>
                  <w:r>
                    <w:rPr>
                      <w:rFonts w:hint="eastAsia" w:ascii="Times New Roman" w:hAnsi="Times New Roman" w:cs="Times New Roman"/>
                      <w:color w:val="auto"/>
                      <w:szCs w:val="21"/>
                      <w:lang w:val="en-US" w:eastAsia="zh-CN"/>
                    </w:rPr>
                    <w:t>2</w:t>
                  </w:r>
                </w:p>
              </w:tc>
              <w:tc>
                <w:tcPr>
                  <w:tcW w:w="1427" w:type="dxa"/>
                  <w:noWrap w:val="0"/>
                  <w:vAlign w:val="center"/>
                </w:tcPr>
                <w:p>
                  <w:pPr>
                    <w:adjustRightInd w:val="0"/>
                    <w:snapToGrid w:val="0"/>
                    <w:jc w:val="center"/>
                    <w:rPr>
                      <w:rFonts w:hint="eastAsia" w:ascii="Times New Roman" w:hAnsi="Times New Roman" w:cs="Times New Roman"/>
                      <w:color w:val="auto"/>
                      <w:szCs w:val="21"/>
                      <w:lang w:val="en-US" w:eastAsia="zh-CN"/>
                    </w:rPr>
                  </w:pPr>
                  <w:r>
                    <w:rPr>
                      <w:rFonts w:hint="eastAsia" w:ascii="Times New Roman" w:hAnsi="Times New Roman" w:cs="Times New Roman"/>
                      <w:color w:val="auto"/>
                      <w:szCs w:val="21"/>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eastAsia" w:cs="Times New Roman"/>
                      <w:color w:val="auto"/>
                      <w:szCs w:val="21"/>
                      <w:lang w:val="en-US" w:eastAsia="zh-CN"/>
                    </w:rPr>
                  </w:pPr>
                  <w:r>
                    <w:rPr>
                      <w:rFonts w:hint="default" w:ascii="Times New Roman" w:hAnsi="Times New Roman" w:cs="Times New Roman"/>
                      <w:color w:val="auto"/>
                      <w:szCs w:val="21"/>
                      <w:lang w:val="en-US" w:eastAsia="zh-CN"/>
                    </w:rPr>
                    <w:t>5</w:t>
                  </w:r>
                </w:p>
              </w:tc>
              <w:tc>
                <w:tcPr>
                  <w:tcW w:w="3327" w:type="dxa"/>
                  <w:noWrap w:val="0"/>
                  <w:vAlign w:val="center"/>
                </w:tcPr>
                <w:p>
                  <w:pPr>
                    <w:widowControl/>
                    <w:jc w:val="center"/>
                    <w:textAlignment w:val="center"/>
                    <w:rPr>
                      <w:rFonts w:hint="eastAsia"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热风炉</w:t>
                  </w:r>
                </w:p>
              </w:tc>
              <w:tc>
                <w:tcPr>
                  <w:tcW w:w="1222"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cs="Times New Roman"/>
                      <w:color w:val="auto"/>
                      <w:szCs w:val="21"/>
                      <w:lang w:val="en-US" w:eastAsia="zh-CN"/>
                    </w:rPr>
                    <w:t>台</w:t>
                  </w:r>
                </w:p>
              </w:tc>
              <w:tc>
                <w:tcPr>
                  <w:tcW w:w="1426"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cs="Times New Roman"/>
                      <w:color w:val="auto"/>
                      <w:szCs w:val="21"/>
                      <w:lang w:val="en-US" w:eastAsia="zh-CN"/>
                    </w:rPr>
                    <w:t>1</w:t>
                  </w:r>
                </w:p>
              </w:tc>
              <w:tc>
                <w:tcPr>
                  <w:tcW w:w="1427" w:type="dxa"/>
                  <w:noWrap w:val="0"/>
                  <w:vAlign w:val="center"/>
                </w:tcPr>
                <w:p>
                  <w:pPr>
                    <w:adjustRightInd w:val="0"/>
                    <w:snapToGrid w:val="0"/>
                    <w:jc w:val="center"/>
                    <w:rPr>
                      <w:rFonts w:hint="default" w:ascii="Times New Roman" w:hAnsi="Times New Roman" w:cs="Times New Roman"/>
                      <w:color w:val="auto"/>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eastAsia" w:cs="Times New Roman"/>
                      <w:color w:val="auto"/>
                      <w:szCs w:val="21"/>
                      <w:lang w:val="en-US" w:eastAsia="zh-CN"/>
                    </w:rPr>
                  </w:pPr>
                  <w:r>
                    <w:rPr>
                      <w:rFonts w:hint="eastAsia" w:cs="Times New Roman"/>
                      <w:color w:val="auto"/>
                      <w:szCs w:val="21"/>
                      <w:lang w:val="en-US" w:eastAsia="zh-CN"/>
                    </w:rPr>
                    <w:t>6</w:t>
                  </w:r>
                </w:p>
              </w:tc>
              <w:tc>
                <w:tcPr>
                  <w:tcW w:w="3327" w:type="dxa"/>
                  <w:noWrap w:val="0"/>
                  <w:vAlign w:val="center"/>
                </w:tcPr>
                <w:p>
                  <w:pPr>
                    <w:pStyle w:val="74"/>
                    <w:rPr>
                      <w:rFonts w:hint="eastAsia" w:cs="Times New Roman"/>
                      <w:color w:val="auto"/>
                      <w:kern w:val="2"/>
                      <w:sz w:val="21"/>
                      <w:szCs w:val="24"/>
                      <w:lang w:val="en-US" w:eastAsia="zh-CN" w:bidi="ar-SA"/>
                    </w:rPr>
                  </w:pPr>
                  <w:r>
                    <w:rPr>
                      <w:rFonts w:hint="default" w:ascii="Times New Roman" w:hAnsi="Times New Roman" w:eastAsia="宋体" w:cs="Times New Roman"/>
                      <w:color w:val="auto"/>
                      <w:kern w:val="2"/>
                      <w:sz w:val="21"/>
                      <w:szCs w:val="21"/>
                      <w:lang w:val="en-US" w:eastAsia="zh-CN" w:bidi="ar-SA"/>
                    </w:rPr>
                    <w:t>烘干塔</w:t>
                  </w:r>
                </w:p>
              </w:tc>
              <w:tc>
                <w:tcPr>
                  <w:tcW w:w="1222"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座</w:t>
                  </w:r>
                </w:p>
              </w:tc>
              <w:tc>
                <w:tcPr>
                  <w:tcW w:w="1426"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1</w:t>
                  </w:r>
                </w:p>
              </w:tc>
              <w:tc>
                <w:tcPr>
                  <w:tcW w:w="142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1188" w:type="dxa"/>
                  <w:noWrap w:val="0"/>
                  <w:vAlign w:val="center"/>
                </w:tcPr>
                <w:p>
                  <w:pPr>
                    <w:adjustRightInd w:val="0"/>
                    <w:snapToGrid w:val="0"/>
                    <w:jc w:val="center"/>
                    <w:rPr>
                      <w:rFonts w:hint="eastAsia" w:cs="Times New Roman"/>
                      <w:color w:val="auto"/>
                      <w:szCs w:val="21"/>
                      <w:lang w:val="en-US" w:eastAsia="zh-CN"/>
                    </w:rPr>
                  </w:pPr>
                  <w:r>
                    <w:rPr>
                      <w:rFonts w:hint="eastAsia" w:cs="Times New Roman"/>
                      <w:color w:val="auto"/>
                      <w:szCs w:val="21"/>
                      <w:lang w:val="en-US" w:eastAsia="zh-CN"/>
                    </w:rPr>
                    <w:t>7</w:t>
                  </w:r>
                </w:p>
              </w:tc>
              <w:tc>
                <w:tcPr>
                  <w:tcW w:w="3327" w:type="dxa"/>
                  <w:noWrap w:val="0"/>
                  <w:vAlign w:val="center"/>
                </w:tcPr>
                <w:p>
                  <w:pPr>
                    <w:widowControl/>
                    <w:jc w:val="center"/>
                    <w:textAlignment w:val="center"/>
                    <w:rPr>
                      <w:rFonts w:hint="eastAsia" w:cs="Times New Roman"/>
                      <w:color w:val="auto"/>
                      <w:kern w:val="2"/>
                      <w:sz w:val="21"/>
                      <w:szCs w:val="24"/>
                      <w:lang w:val="en-US" w:eastAsia="zh-CN" w:bidi="ar-SA"/>
                    </w:rPr>
                  </w:pPr>
                  <w:r>
                    <w:rPr>
                      <w:rFonts w:hint="default" w:ascii="Times New Roman" w:hAnsi="Times New Roman" w:eastAsia="宋体" w:cs="Times New Roman"/>
                      <w:color w:val="auto"/>
                      <w:kern w:val="2"/>
                      <w:sz w:val="21"/>
                      <w:szCs w:val="24"/>
                      <w:lang w:val="en-US" w:eastAsia="zh-CN" w:bidi="ar-SA"/>
                    </w:rPr>
                    <w:t>布袋除尘器</w:t>
                  </w:r>
                </w:p>
              </w:tc>
              <w:tc>
                <w:tcPr>
                  <w:tcW w:w="1222"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cs="Times New Roman"/>
                      <w:color w:val="auto"/>
                      <w:kern w:val="2"/>
                      <w:sz w:val="21"/>
                      <w:szCs w:val="21"/>
                      <w:lang w:val="en-US" w:eastAsia="zh-CN" w:bidi="ar-SA"/>
                    </w:rPr>
                    <w:t>台</w:t>
                  </w:r>
                </w:p>
              </w:tc>
              <w:tc>
                <w:tcPr>
                  <w:tcW w:w="1426" w:type="dxa"/>
                  <w:noWrap w:val="0"/>
                  <w:vAlign w:val="center"/>
                </w:tcPr>
                <w:p>
                  <w:pPr>
                    <w:adjustRightInd w:val="0"/>
                    <w:snapToGrid w:val="0"/>
                    <w:jc w:val="center"/>
                    <w:rPr>
                      <w:rFonts w:hint="eastAsia"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1</w:t>
                  </w:r>
                </w:p>
              </w:tc>
              <w:tc>
                <w:tcPr>
                  <w:tcW w:w="1427"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3、</w:t>
            </w:r>
            <w:r>
              <w:rPr>
                <w:rFonts w:hint="default" w:ascii="Times New Roman" w:hAnsi="Times New Roman" w:cs="Times New Roman"/>
                <w:b/>
                <w:bCs/>
                <w:color w:val="auto"/>
                <w:kern w:val="0"/>
                <w:sz w:val="24"/>
                <w:szCs w:val="24"/>
                <w:lang w:val="en-US" w:eastAsia="zh-CN"/>
              </w:rPr>
              <w:t>主要原辅材料及燃料</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highlight w:val="none"/>
              </w:rPr>
              <w:t>原辅材料用量见下表。</w:t>
            </w:r>
          </w:p>
          <w:p>
            <w:pPr>
              <w:pStyle w:val="80"/>
              <w:adjustRightInd/>
              <w:snapToGrid/>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 xml:space="preserve">4 </w:t>
            </w:r>
            <w:r>
              <w:rPr>
                <w:rFonts w:hint="default" w:ascii="Times New Roman" w:hAnsi="Times New Roman" w:cs="Times New Roman"/>
                <w:b/>
                <w:bCs/>
                <w:color w:val="auto"/>
                <w:sz w:val="21"/>
                <w:szCs w:val="21"/>
                <w:highlight w:val="none"/>
                <w:lang w:eastAsia="zh-CN"/>
              </w:rPr>
              <w:t>原、辅材料情况</w:t>
            </w:r>
            <w:r>
              <w:rPr>
                <w:rFonts w:hint="default" w:ascii="Times New Roman" w:hAnsi="Times New Roman" w:cs="Times New Roman"/>
                <w:b/>
                <w:bCs/>
                <w:color w:val="auto"/>
                <w:sz w:val="21"/>
                <w:szCs w:val="21"/>
                <w:highlight w:val="none"/>
              </w:rPr>
              <w:t>一览表</w:t>
            </w:r>
          </w:p>
          <w:tbl>
            <w:tblPr>
              <w:tblStyle w:val="30"/>
              <w:tblW w:w="858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78"/>
              <w:gridCol w:w="1366"/>
              <w:gridCol w:w="1334"/>
              <w:gridCol w:w="2705"/>
              <w:gridCol w:w="270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478"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序号</w:t>
                  </w:r>
                </w:p>
              </w:tc>
              <w:tc>
                <w:tcPr>
                  <w:tcW w:w="1366" w:type="dxa"/>
                  <w:noWrap w:val="0"/>
                  <w:vAlign w:val="center"/>
                </w:tcPr>
                <w:p>
                  <w:pPr>
                    <w:adjustRightInd w:val="0"/>
                    <w:snapToGrid w:val="0"/>
                    <w:jc w:val="center"/>
                    <w:rPr>
                      <w:rFonts w:hint="default" w:ascii="Times New Roman" w:hAnsi="Times New Roman" w:cs="Times New Roman"/>
                      <w:color w:val="auto"/>
                      <w:szCs w:val="21"/>
                    </w:rPr>
                  </w:pPr>
                  <w:r>
                    <w:rPr>
                      <w:rFonts w:hint="eastAsia" w:cs="Times New Roman"/>
                      <w:color w:val="auto"/>
                      <w:szCs w:val="21"/>
                      <w:lang w:val="en-US" w:eastAsia="zh-CN"/>
                    </w:rPr>
                    <w:t>原有项目原料</w:t>
                  </w:r>
                </w:p>
              </w:tc>
              <w:tc>
                <w:tcPr>
                  <w:tcW w:w="1334" w:type="dxa"/>
                  <w:noWrap w:val="0"/>
                  <w:vAlign w:val="center"/>
                </w:tcPr>
                <w:p>
                  <w:pPr>
                    <w:adjustRightInd w:val="0"/>
                    <w:snapToGrid w:val="0"/>
                    <w:jc w:val="center"/>
                    <w:rPr>
                      <w:rFonts w:hint="default" w:ascii="Times New Roman" w:hAnsi="Times New Roman" w:cs="Times New Roman"/>
                      <w:color w:val="auto"/>
                      <w:szCs w:val="21"/>
                    </w:rPr>
                  </w:pPr>
                  <w:r>
                    <w:rPr>
                      <w:rFonts w:hint="eastAsia" w:cs="Times New Roman"/>
                      <w:color w:val="auto"/>
                      <w:szCs w:val="21"/>
                      <w:lang w:val="en-US" w:eastAsia="zh-CN"/>
                    </w:rPr>
                    <w:t>原有项目</w:t>
                  </w:r>
                  <w:r>
                    <w:rPr>
                      <w:rFonts w:hint="default" w:ascii="Times New Roman" w:hAnsi="Times New Roman" w:cs="Times New Roman"/>
                      <w:color w:val="auto"/>
                      <w:szCs w:val="21"/>
                    </w:rPr>
                    <w:t>年用量</w:t>
                  </w:r>
                </w:p>
              </w:tc>
              <w:tc>
                <w:tcPr>
                  <w:tcW w:w="2705"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本项目建成后原料</w:t>
                  </w:r>
                </w:p>
              </w:tc>
              <w:tc>
                <w:tcPr>
                  <w:tcW w:w="2705"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本项目建成后原料用量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478" w:type="dxa"/>
                  <w:noWrap w:val="0"/>
                  <w:vAlign w:val="center"/>
                </w:tcPr>
                <w:p>
                  <w:pPr>
                    <w:adjustRightInd w:val="0"/>
                    <w:snapToGrid w:val="0"/>
                    <w:jc w:val="center"/>
                    <w:rPr>
                      <w:rFonts w:hint="default" w:ascii="Times New Roman" w:hAnsi="Times New Roman" w:cs="Times New Roman"/>
                      <w:color w:val="auto"/>
                      <w:szCs w:val="21"/>
                    </w:rPr>
                  </w:pPr>
                  <w:r>
                    <w:rPr>
                      <w:rFonts w:hint="default" w:ascii="Times New Roman" w:hAnsi="Times New Roman" w:cs="Times New Roman"/>
                      <w:color w:val="auto"/>
                      <w:szCs w:val="21"/>
                    </w:rPr>
                    <w:t>1</w:t>
                  </w:r>
                </w:p>
              </w:tc>
              <w:tc>
                <w:tcPr>
                  <w:tcW w:w="1366" w:type="dxa"/>
                  <w:noWrap w:val="0"/>
                  <w:vAlign w:val="center"/>
                </w:tcPr>
                <w:p>
                  <w:pPr>
                    <w:adjustRightInd w:val="0"/>
                    <w:snapToGrid w:val="0"/>
                    <w:jc w:val="center"/>
                    <w:rPr>
                      <w:rFonts w:hint="default" w:ascii="Times New Roman" w:hAnsi="Times New Roman" w:eastAsia="宋体" w:cs="Times New Roman"/>
                      <w:color w:val="auto"/>
                      <w:szCs w:val="21"/>
                      <w:lang w:eastAsia="zh-CN"/>
                    </w:rPr>
                  </w:pPr>
                  <w:r>
                    <w:rPr>
                      <w:rFonts w:hint="default" w:ascii="Times New Roman" w:hAnsi="Times New Roman" w:eastAsia="宋体" w:cs="Times New Roman"/>
                      <w:color w:val="auto"/>
                      <w:szCs w:val="21"/>
                      <w:lang w:val="en-US" w:eastAsia="zh-CN"/>
                    </w:rPr>
                    <w:t>玉米潮粮</w:t>
                  </w:r>
                </w:p>
              </w:tc>
              <w:tc>
                <w:tcPr>
                  <w:tcW w:w="1334" w:type="dxa"/>
                  <w:noWrap w:val="0"/>
                  <w:vAlign w:val="center"/>
                </w:tcPr>
                <w:p>
                  <w:pPr>
                    <w:adjustRightInd w:val="0"/>
                    <w:snapToGrid w:val="0"/>
                    <w:jc w:val="center"/>
                    <w:rPr>
                      <w:rFonts w:hint="default" w:ascii="Times New Roman" w:hAnsi="Times New Roman" w:eastAsia="宋体" w:cs="Times New Roman"/>
                      <w:color w:val="auto"/>
                      <w:szCs w:val="21"/>
                      <w:highlight w:val="yellow"/>
                      <w:lang w:val="en-US" w:eastAsia="zh-CN"/>
                    </w:rPr>
                  </w:pPr>
                  <w:r>
                    <w:rPr>
                      <w:rFonts w:hint="eastAsia" w:cs="Times New Roman"/>
                      <w:color w:val="auto"/>
                      <w:szCs w:val="21"/>
                      <w:highlight w:val="none"/>
                      <w:lang w:val="en-US" w:eastAsia="zh-CN"/>
                    </w:rPr>
                    <w:t>10500</w:t>
                  </w:r>
                  <w:r>
                    <w:rPr>
                      <w:rFonts w:hint="default" w:ascii="Times New Roman" w:hAnsi="Times New Roman" w:cs="Times New Roman"/>
                      <w:color w:val="auto"/>
                      <w:szCs w:val="21"/>
                      <w:highlight w:val="none"/>
                    </w:rPr>
                    <w:t>t/a</w:t>
                  </w:r>
                </w:p>
              </w:tc>
              <w:tc>
                <w:tcPr>
                  <w:tcW w:w="2705"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玉米潮粮</w:t>
                  </w:r>
                </w:p>
              </w:tc>
              <w:tc>
                <w:tcPr>
                  <w:tcW w:w="2705"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15000t/a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478" w:type="dxa"/>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cs="Times New Roman"/>
                      <w:color w:val="auto"/>
                      <w:szCs w:val="21"/>
                      <w:lang w:val="en-US" w:eastAsia="zh-CN"/>
                    </w:rPr>
                    <w:t>2</w:t>
                  </w:r>
                </w:p>
              </w:tc>
              <w:tc>
                <w:tcPr>
                  <w:tcW w:w="136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小麦</w:t>
                  </w:r>
                </w:p>
              </w:tc>
              <w:tc>
                <w:tcPr>
                  <w:tcW w:w="133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 w:val="21"/>
                      <w:szCs w:val="21"/>
                      <w:highlight w:val="none"/>
                      <w:lang w:val="en-US" w:eastAsia="zh-CN"/>
                    </w:rPr>
                    <w:t>1500</w:t>
                  </w:r>
                  <w:r>
                    <w:rPr>
                      <w:rFonts w:hint="default" w:ascii="Times New Roman" w:hAnsi="Times New Roman" w:cs="Times New Roman"/>
                      <w:color w:val="auto"/>
                      <w:szCs w:val="21"/>
                      <w:highlight w:val="none"/>
                      <w:lang w:val="en-US" w:eastAsia="zh-CN"/>
                    </w:rPr>
                    <w:t>t/a</w:t>
                  </w:r>
                </w:p>
              </w:tc>
              <w:tc>
                <w:tcPr>
                  <w:tcW w:w="2705"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highlight w:val="none"/>
                      <w:lang w:val="en-US" w:eastAsia="zh-CN"/>
                    </w:rPr>
                    <w:t>小麦</w:t>
                  </w:r>
                </w:p>
              </w:tc>
              <w:tc>
                <w:tcPr>
                  <w:tcW w:w="2705"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0t/a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06" w:hRule="atLeast"/>
                <w:jc w:val="center"/>
              </w:trPr>
              <w:tc>
                <w:tcPr>
                  <w:tcW w:w="478" w:type="dxa"/>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w:t>
                  </w:r>
                </w:p>
              </w:tc>
              <w:tc>
                <w:tcPr>
                  <w:tcW w:w="1366" w:type="dxa"/>
                  <w:noWrap w:val="0"/>
                  <w:vAlign w:val="center"/>
                </w:tcPr>
                <w:p>
                  <w:pPr>
                    <w:adjustRightInd w:val="0"/>
                    <w:snapToGrid w:val="0"/>
                    <w:jc w:val="center"/>
                    <w:rPr>
                      <w:rFonts w:hint="default" w:ascii="Times New Roman" w:hAnsi="Times New Roman" w:eastAsia="宋体" w:cs="Times New Roman"/>
                      <w:color w:val="auto"/>
                      <w:szCs w:val="21"/>
                      <w:lang w:val="en-US" w:eastAsia="zh-CN"/>
                    </w:rPr>
                  </w:pPr>
                  <w:r>
                    <w:rPr>
                      <w:rFonts w:hint="eastAsia" w:cs="Times New Roman"/>
                      <w:color w:val="auto"/>
                      <w:szCs w:val="21"/>
                      <w:lang w:val="en-US" w:eastAsia="zh-CN"/>
                    </w:rPr>
                    <w:t>生物质燃料</w:t>
                  </w:r>
                </w:p>
              </w:tc>
              <w:tc>
                <w:tcPr>
                  <w:tcW w:w="133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632t/a</w:t>
                  </w:r>
                </w:p>
              </w:tc>
              <w:tc>
                <w:tcPr>
                  <w:tcW w:w="2705" w:type="dxa"/>
                  <w:noWrap w:val="0"/>
                  <w:vAlign w:val="center"/>
                </w:tcPr>
                <w:p>
                  <w:pPr>
                    <w:adjustRightInd w:val="0"/>
                    <w:snapToGrid w:val="0"/>
                    <w:jc w:val="center"/>
                    <w:rPr>
                      <w:rFonts w:hint="default" w:ascii="Times New Roman" w:hAnsi="Times New Roman" w:cs="Times New Roman"/>
                      <w:color w:val="auto"/>
                      <w:szCs w:val="21"/>
                      <w:lang w:val="en-US" w:eastAsia="zh-CN"/>
                    </w:rPr>
                  </w:pPr>
                  <w:r>
                    <w:rPr>
                      <w:rFonts w:hint="eastAsia" w:cs="Times New Roman"/>
                      <w:color w:val="auto"/>
                      <w:szCs w:val="21"/>
                      <w:lang w:val="en-US" w:eastAsia="zh-CN"/>
                    </w:rPr>
                    <w:t>生物质燃料</w:t>
                  </w:r>
                </w:p>
              </w:tc>
              <w:tc>
                <w:tcPr>
                  <w:tcW w:w="2705" w:type="dxa"/>
                  <w:noWrap w:val="0"/>
                  <w:vAlign w:val="center"/>
                </w:tcPr>
                <w:p>
                  <w:pPr>
                    <w:adjustRightInd w:val="0"/>
                    <w:snapToGrid w:val="0"/>
                    <w:jc w:val="center"/>
                    <w:rPr>
                      <w:rFonts w:hint="default" w:cs="Times New Roman"/>
                      <w:color w:val="auto"/>
                      <w:szCs w:val="21"/>
                      <w:lang w:val="en-US" w:eastAsia="zh-CN"/>
                    </w:rPr>
                  </w:pPr>
                  <w:r>
                    <w:rPr>
                      <w:rFonts w:hint="eastAsia" w:cs="Times New Roman"/>
                      <w:color w:val="auto"/>
                      <w:sz w:val="21"/>
                      <w:szCs w:val="21"/>
                      <w:highlight w:val="none"/>
                      <w:lang w:val="en-US" w:eastAsia="zh-CN"/>
                    </w:rPr>
                    <w:t>1250</w:t>
                  </w:r>
                  <w:r>
                    <w:rPr>
                      <w:rFonts w:hint="eastAsia" w:cs="Times New Roman"/>
                      <w:color w:val="auto"/>
                      <w:szCs w:val="21"/>
                      <w:lang w:val="en-US" w:eastAsia="zh-CN"/>
                    </w:rPr>
                    <w:t>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478"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Cs w:val="21"/>
                      <w:highlight w:val="none"/>
                      <w:lang w:val="en-US" w:eastAsia="zh-CN"/>
                    </w:rPr>
                    <w:t>3</w:t>
                  </w:r>
                </w:p>
              </w:tc>
              <w:tc>
                <w:tcPr>
                  <w:tcW w:w="1366"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新鲜水</w:t>
                  </w:r>
                </w:p>
              </w:tc>
              <w:tc>
                <w:tcPr>
                  <w:tcW w:w="1334" w:type="dxa"/>
                  <w:shd w:val="clear" w:color="auto" w:fill="auto"/>
                  <w:noWrap w:val="0"/>
                  <w:vAlign w:val="center"/>
                </w:tcPr>
                <w:p>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28.8</w:t>
                  </w:r>
                  <w:r>
                    <w:rPr>
                      <w:rFonts w:hint="default" w:ascii="Times New Roman" w:hAnsi="Times New Roman" w:cs="Times New Roman"/>
                      <w:color w:val="auto"/>
                      <w:szCs w:val="21"/>
                      <w:highlight w:val="none"/>
                      <w:lang w:val="en-US" w:eastAsia="zh-CN"/>
                    </w:rPr>
                    <w:t>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rPr>
                    <w:t>/a</w:t>
                  </w:r>
                </w:p>
              </w:tc>
              <w:tc>
                <w:tcPr>
                  <w:tcW w:w="2705"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default" w:ascii="Times New Roman" w:hAnsi="Times New Roman" w:eastAsia="宋体" w:cs="Times New Roman"/>
                      <w:color w:val="auto"/>
                      <w:szCs w:val="21"/>
                      <w:lang w:val="en-US" w:eastAsia="zh-CN"/>
                    </w:rPr>
                    <w:t>新鲜水</w:t>
                  </w:r>
                </w:p>
              </w:tc>
              <w:tc>
                <w:tcPr>
                  <w:tcW w:w="2705" w:type="dxa"/>
                  <w:shd w:val="clear" w:color="auto" w:fill="auto"/>
                  <w:noWrap w:val="0"/>
                  <w:vAlign w:val="center"/>
                </w:tcPr>
                <w:p>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lang w:val="en-US" w:eastAsia="zh-CN"/>
                    </w:rPr>
                    <w:t>28.8</w:t>
                  </w:r>
                  <w:r>
                    <w:rPr>
                      <w:rFonts w:hint="default" w:ascii="Times New Roman" w:hAnsi="Times New Roman" w:cs="Times New Roman"/>
                      <w:color w:val="auto"/>
                      <w:szCs w:val="21"/>
                      <w:highlight w:val="none"/>
                      <w:lang w:val="en-US" w:eastAsia="zh-CN"/>
                    </w:rPr>
                    <w:t>m</w:t>
                  </w:r>
                  <w:r>
                    <w:rPr>
                      <w:rFonts w:hint="default" w:ascii="Times New Roman" w:hAnsi="Times New Roman" w:cs="Times New Roman"/>
                      <w:color w:val="auto"/>
                      <w:szCs w:val="21"/>
                      <w:highlight w:val="none"/>
                      <w:vertAlign w:val="superscript"/>
                      <w:lang w:val="en-US" w:eastAsia="zh-CN"/>
                    </w:rPr>
                    <w:t>3</w:t>
                  </w:r>
                  <w:r>
                    <w:rPr>
                      <w:rFonts w:hint="default" w:ascii="Times New Roman" w:hAnsi="Times New Roman" w:cs="Times New Roman"/>
                      <w:color w:val="auto"/>
                      <w:szCs w:val="21"/>
                      <w:highlight w:val="none"/>
                    </w:rPr>
                    <w:t>/a</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478"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4</w:t>
                  </w:r>
                </w:p>
              </w:tc>
              <w:tc>
                <w:tcPr>
                  <w:tcW w:w="1366"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电</w:t>
                  </w:r>
                </w:p>
              </w:tc>
              <w:tc>
                <w:tcPr>
                  <w:tcW w:w="1334"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48</w:t>
                  </w:r>
                  <w:r>
                    <w:rPr>
                      <w:rFonts w:hint="eastAsia" w:cs="Times New Roman"/>
                      <w:color w:val="auto"/>
                      <w:szCs w:val="21"/>
                      <w:highlight w:val="none"/>
                      <w:lang w:val="en-US" w:eastAsia="zh-CN"/>
                    </w:rPr>
                    <w:t>万kW·h</w:t>
                  </w:r>
                </w:p>
              </w:tc>
              <w:tc>
                <w:tcPr>
                  <w:tcW w:w="2705"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1"/>
                      <w:szCs w:val="21"/>
                      <w:lang w:val="en-US" w:eastAsia="zh-CN" w:bidi="ar-SA"/>
                    </w:rPr>
                  </w:pPr>
                  <w:r>
                    <w:rPr>
                      <w:rFonts w:hint="eastAsia" w:cs="Times New Roman"/>
                      <w:color w:val="auto"/>
                      <w:szCs w:val="21"/>
                      <w:lang w:val="en-US" w:eastAsia="zh-CN"/>
                    </w:rPr>
                    <w:t>电</w:t>
                  </w:r>
                </w:p>
              </w:tc>
              <w:tc>
                <w:tcPr>
                  <w:tcW w:w="2705" w:type="dxa"/>
                  <w:shd w:val="clear" w:color="auto" w:fill="auto"/>
                  <w:noWrap w:val="0"/>
                  <w:vAlign w:val="center"/>
                </w:tcPr>
                <w:p>
                  <w:pPr>
                    <w:adjustRightInd w:val="0"/>
                    <w:snapToGrid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60万kW·h</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生物质压块燃料消耗量计算：</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w:t>
            </w:r>
            <w:r>
              <w:rPr>
                <w:rFonts w:hint="default" w:ascii="Times New Roman" w:hAnsi="Times New Roman" w:eastAsia="宋体" w:cs="Times New Roman"/>
                <w:color w:val="auto"/>
                <w:kern w:val="0"/>
                <w:sz w:val="24"/>
                <w:szCs w:val="24"/>
                <w:highlight w:val="none"/>
                <w:lang w:val="en-US" w:eastAsia="zh-CN"/>
              </w:rPr>
              <w:t>进厂潮粮经初步筛选清除杂质后，进入烘干塔进行烘干的潮粮为</w:t>
            </w:r>
            <w:r>
              <w:rPr>
                <w:rFonts w:hint="eastAsia" w:cs="Times New Roman"/>
                <w:color w:val="auto"/>
                <w:kern w:val="0"/>
                <w:sz w:val="24"/>
                <w:szCs w:val="24"/>
                <w:highlight w:val="none"/>
                <w:lang w:val="en-US" w:eastAsia="zh-CN"/>
              </w:rPr>
              <w:t>14997t</w:t>
            </w:r>
            <w:r>
              <w:rPr>
                <w:rFonts w:hint="default" w:ascii="Times New Roman" w:hAnsi="Times New Roman" w:eastAsia="宋体" w:cs="Times New Roman"/>
                <w:color w:val="auto"/>
                <w:kern w:val="0"/>
                <w:sz w:val="24"/>
                <w:szCs w:val="24"/>
                <w:highlight w:val="none"/>
                <w:lang w:val="en-US" w:eastAsia="zh-CN"/>
              </w:rPr>
              <w:t>/a，含水率平均29%，要求烘干后的干粮含水率为14%。</w:t>
            </w:r>
            <w:r>
              <w:rPr>
                <w:rFonts w:hint="default" w:ascii="Times New Roman" w:hAnsi="Times New Roman" w:eastAsia="宋体" w:cs="Times New Roman"/>
                <w:color w:val="auto"/>
                <w:kern w:val="0"/>
                <w:sz w:val="24"/>
                <w:szCs w:val="24"/>
                <w:lang w:val="en-US" w:eastAsia="zh-CN"/>
              </w:rPr>
              <w:t>则烘干过程水分蒸发量按照下方公式计算：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position w:val="-10"/>
                <w:sz w:val="24"/>
                <w:szCs w:val="24"/>
                <w:lang w:val="en-US" w:eastAsia="zh-CN"/>
              </w:rPr>
              <w:object>
                <v:shape id="_x0000_i1025" o:spt="75" type="#_x0000_t75" style="height:17pt;width:132.95pt;" o:ole="t" filled="f" o:preferrelative="t" stroked="f" coordsize="21600,21600">
                  <v:path/>
                  <v:fill on="f" focussize="0,0"/>
                  <v:stroke on="f"/>
                  <v:imagedata r:id="rId12" o:title=""/>
                  <o:lock v:ext="edit" aspectratio="t"/>
                  <w10:wrap type="none"/>
                  <w10:anchorlock/>
                </v:shape>
                <o:OLEObject Type="Embed" ProgID="Equation.KSEE3" ShapeID="_x0000_i1025" DrawAspect="Content" ObjectID="_1468075725" r:id="rId11">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式中：W：水分蒸发量，t/a；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G：处理量（本项目为</w:t>
            </w:r>
            <w:r>
              <w:rPr>
                <w:rFonts w:hint="eastAsia" w:cs="Times New Roman"/>
                <w:color w:val="auto"/>
                <w:kern w:val="0"/>
                <w:sz w:val="24"/>
                <w:szCs w:val="24"/>
                <w:lang w:val="en-US" w:eastAsia="zh-CN"/>
              </w:rPr>
              <w:t>14997</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1</w:t>
            </w:r>
            <w:r>
              <w:rPr>
                <w:rFonts w:hint="default" w:ascii="Times New Roman" w:hAnsi="Times New Roman" w:eastAsia="宋体" w:cs="Times New Roman"/>
                <w:color w:val="auto"/>
                <w:kern w:val="0"/>
                <w:sz w:val="24"/>
                <w:szCs w:val="24"/>
                <w:lang w:val="en-US" w:eastAsia="zh-CN"/>
              </w:rPr>
              <w:t>：进料含水量百分数（本项目为29</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ω</w:t>
            </w:r>
            <w:r>
              <w:rPr>
                <w:rFonts w:hint="default" w:ascii="Times New Roman" w:hAnsi="Times New Roman" w:eastAsia="宋体" w:cs="Times New Roman"/>
                <w:color w:val="auto"/>
                <w:kern w:val="0"/>
                <w:sz w:val="24"/>
                <w:szCs w:val="24"/>
                <w:vertAlign w:val="subscript"/>
                <w:lang w:val="en-US" w:eastAsia="zh-CN"/>
              </w:rPr>
              <w:t>2</w:t>
            </w:r>
            <w:r>
              <w:rPr>
                <w:rFonts w:hint="default" w:ascii="Times New Roman" w:hAnsi="Times New Roman" w:eastAsia="宋体" w:cs="Times New Roman"/>
                <w:color w:val="auto"/>
                <w:kern w:val="0"/>
                <w:sz w:val="24"/>
                <w:szCs w:val="24"/>
                <w:lang w:val="en-US" w:eastAsia="zh-CN"/>
              </w:rPr>
              <w:t>：出料含水量百分数（本项目为14</w:t>
            </w:r>
            <w:r>
              <w:rPr>
                <w:rFonts w:hint="eastAsia" w:cs="Times New Roman"/>
                <w:color w:val="auto"/>
                <w:kern w:val="0"/>
                <w:sz w:val="24"/>
                <w:szCs w:val="24"/>
                <w:lang w:val="en-US" w:eastAsia="zh-CN"/>
              </w:rPr>
              <w:t>%</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则水分蒸发量为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本项目热风炉热效率为80%，生物质燃料的收到基低位发热量为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MJ/kg，参考尹协镇《粮食烘干过程中不同外部条件对烘干能耗的影响》中的数据“每烘干1kg水能耗取5400kJ/kg”，本项目所需生物质压块燃料量按照下方公式计算：</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color w:val="auto"/>
                <w:lang w:val="en-US" w:eastAsia="zh-CN"/>
              </w:rPr>
            </w:pPr>
            <w:r>
              <w:rPr>
                <w:rFonts w:hint="default" w:ascii="Times New Roman" w:hAnsi="Times New Roman" w:cs="Times New Roman"/>
                <w:color w:val="auto"/>
                <w:position w:val="-28"/>
                <w:lang w:val="en-US" w:eastAsia="zh-CN"/>
              </w:rPr>
              <w:object>
                <v:shape id="_x0000_i1026" o:spt="75" type="#_x0000_t75" style="height:33pt;width:87pt;" o:ole="t" filled="f" o:preferrelative="t" stroked="f" coordsize="21600,21600">
                  <v:path/>
                  <v:fill on="f" focussize="0,0"/>
                  <v:stroke on="f"/>
                  <v:imagedata r:id="rId14" o:title=""/>
                  <o:lock v:ext="edit" aspectratio="t"/>
                  <w10:wrap type="none"/>
                  <w10:anchorlock/>
                </v:shape>
                <o:OLEObject Type="Embed" ProgID="Equation.KSEE3" ShapeID="_x0000_i1026" DrawAspect="Content" ObjectID="_1468075726" r:id="rId13">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式中：M：生物质压块燃料消耗量，t/a；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eastAsia="宋体" w:cs="Times New Roman"/>
                <w:color w:val="auto"/>
                <w:kern w:val="0"/>
                <w:sz w:val="24"/>
                <w:szCs w:val="24"/>
                <w:lang w:val="en-US" w:eastAsia="zh-CN"/>
              </w:rPr>
              <w:t>e：烘干单位质量水的能耗，取5400kJ/kg，即5400MJ/t；</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m：水分蒸发量，本项目为</w:t>
            </w:r>
            <w:r>
              <w:rPr>
                <w:rFonts w:hint="eastAsia" w:cs="Times New Roman"/>
                <w:color w:val="auto"/>
                <w:kern w:val="0"/>
                <w:sz w:val="24"/>
                <w:szCs w:val="24"/>
                <w:lang w:val="en-US" w:eastAsia="zh-CN"/>
              </w:rPr>
              <w:t>2616</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kinsoku/>
              <w:wordWrap/>
              <w:overflowPunct/>
              <w:topLinePunct w:val="0"/>
              <w:autoSpaceDE/>
              <w:autoSpaceDN/>
              <w:bidi w:val="0"/>
              <w:adjustRightInd w:val="0"/>
              <w:snapToGrid w:val="0"/>
              <w:spacing w:line="360" w:lineRule="auto"/>
              <w:ind w:firstLine="1200" w:firstLineChars="5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Q：生物质压块燃料的收到基低位发热量，本项目为</w:t>
            </w:r>
            <w:r>
              <w:rPr>
                <w:rFonts w:hint="eastAsia" w:ascii="Times New Roman" w:hAnsi="Times New Roman" w:eastAsia="宋体" w:cs="Times New Roman"/>
                <w:color w:val="auto"/>
                <w:kern w:val="0"/>
                <w:sz w:val="24"/>
                <w:szCs w:val="24"/>
                <w:lang w:val="en-US" w:eastAsia="zh-CN"/>
              </w:rPr>
              <w:t>14.</w:t>
            </w:r>
            <w:r>
              <w:rPr>
                <w:rFonts w:hint="eastAsia" w:cs="Times New Roman"/>
                <w:color w:val="auto"/>
                <w:kern w:val="0"/>
                <w:sz w:val="24"/>
                <w:szCs w:val="24"/>
                <w:lang w:val="en-US" w:eastAsia="zh-CN"/>
              </w:rPr>
              <w:t>132</w:t>
            </w:r>
            <w:r>
              <w:rPr>
                <w:rFonts w:hint="default" w:ascii="Times New Roman" w:hAnsi="Times New Roman" w:eastAsia="宋体" w:cs="Times New Roman"/>
                <w:color w:val="auto"/>
                <w:kern w:val="0"/>
                <w:sz w:val="24"/>
                <w:szCs w:val="24"/>
                <w:lang w:val="en-US" w:eastAsia="zh-CN"/>
              </w:rPr>
              <w:t>MJ/kg；</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 xml:space="preserve">      η：热风炉热效率，本项目为80%。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则本项目生物质压</w:t>
            </w:r>
            <w:r>
              <w:rPr>
                <w:rFonts w:hint="eastAsia" w:ascii="Times New Roman" w:hAnsi="Times New Roman" w:eastAsia="宋体" w:cs="Times New Roman"/>
                <w:color w:val="auto"/>
                <w:kern w:val="0"/>
                <w:sz w:val="24"/>
                <w:szCs w:val="24"/>
                <w:lang w:val="en-US" w:eastAsia="zh-CN"/>
              </w:rPr>
              <w:t>块</w:t>
            </w:r>
            <w:r>
              <w:rPr>
                <w:rFonts w:hint="default" w:ascii="Times New Roman" w:hAnsi="Times New Roman" w:eastAsia="宋体" w:cs="Times New Roman"/>
                <w:color w:val="auto"/>
                <w:kern w:val="0"/>
                <w:sz w:val="24"/>
                <w:szCs w:val="24"/>
                <w:lang w:val="en-US" w:eastAsia="zh-CN"/>
              </w:rPr>
              <w:t>燃料消耗量为</w:t>
            </w:r>
            <w:r>
              <w:rPr>
                <w:rFonts w:hint="eastAsia" w:cs="Times New Roman"/>
                <w:color w:val="auto"/>
                <w:kern w:val="0"/>
                <w:sz w:val="24"/>
                <w:szCs w:val="24"/>
                <w:lang w:val="en-US" w:eastAsia="zh-CN"/>
              </w:rPr>
              <w:t>1250</w:t>
            </w:r>
            <w:r>
              <w:rPr>
                <w:rFonts w:hint="default" w:ascii="Times New Roman" w:hAnsi="Times New Roman" w:eastAsia="宋体" w:cs="Times New Roman"/>
                <w:color w:val="auto"/>
                <w:kern w:val="0"/>
                <w:sz w:val="24"/>
                <w:szCs w:val="24"/>
                <w:lang w:val="en-US" w:eastAsia="zh-CN"/>
              </w:rPr>
              <w:t>t/a。</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kern w:val="0"/>
                <w:sz w:val="24"/>
                <w:szCs w:val="24"/>
                <w:lang w:val="en-US" w:eastAsia="zh-CN"/>
              </w:rPr>
            </w:pPr>
            <w:r>
              <w:rPr>
                <w:rFonts w:hint="eastAsia" w:ascii="Times New Roman" w:hAnsi="Times New Roman" w:cs="Times New Roman"/>
                <w:b/>
                <w:bCs/>
                <w:color w:val="auto"/>
                <w:kern w:val="0"/>
                <w:sz w:val="24"/>
                <w:szCs w:val="24"/>
                <w:lang w:val="en-US" w:eastAsia="zh-CN"/>
              </w:rPr>
              <w:t>4、</w:t>
            </w:r>
            <w:r>
              <w:rPr>
                <w:rFonts w:hint="default" w:ascii="Times New Roman" w:hAnsi="Times New Roman" w:cs="Times New Roman"/>
                <w:b/>
                <w:bCs/>
                <w:color w:val="auto"/>
                <w:kern w:val="0"/>
                <w:sz w:val="24"/>
                <w:szCs w:val="24"/>
                <w:lang w:val="en-US" w:eastAsia="zh-CN"/>
              </w:rPr>
              <w:t>劳动定员及工作制度</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lang w:val="en-US" w:eastAsia="zh-CN"/>
              </w:rPr>
              <w:t>本项目</w:t>
            </w:r>
            <w:r>
              <w:rPr>
                <w:rFonts w:hint="eastAsia" w:cs="Times New Roman"/>
                <w:color w:val="auto"/>
                <w:kern w:val="0"/>
                <w:sz w:val="24"/>
                <w:szCs w:val="24"/>
                <w:lang w:val="en-US" w:eastAsia="zh-CN"/>
              </w:rPr>
              <w:t>无新增劳动定员。热风炉年工作30天，每天24h。</w:t>
            </w:r>
          </w:p>
          <w:p>
            <w:pPr>
              <w:widowControl/>
              <w:spacing w:line="360" w:lineRule="auto"/>
              <w:rPr>
                <w:b/>
                <w:bCs/>
                <w:color w:val="auto"/>
                <w:kern w:val="0"/>
                <w:sz w:val="24"/>
                <w:highlight w:val="none"/>
              </w:rPr>
            </w:pPr>
            <w:r>
              <w:rPr>
                <w:rFonts w:hint="eastAsia"/>
                <w:b/>
                <w:bCs/>
                <w:color w:val="auto"/>
                <w:kern w:val="0"/>
                <w:sz w:val="24"/>
                <w:highlight w:val="none"/>
                <w:lang w:val="en-US" w:eastAsia="zh-CN"/>
              </w:rPr>
              <w:t>5</w:t>
            </w:r>
            <w:r>
              <w:rPr>
                <w:rFonts w:hint="eastAsia"/>
                <w:b/>
                <w:bCs/>
                <w:color w:val="auto"/>
                <w:kern w:val="0"/>
                <w:sz w:val="24"/>
                <w:highlight w:val="none"/>
              </w:rPr>
              <w:t>、</w:t>
            </w:r>
            <w:r>
              <w:rPr>
                <w:b/>
                <w:bCs/>
                <w:color w:val="auto"/>
                <w:kern w:val="0"/>
                <w:sz w:val="24"/>
                <w:highlight w:val="none"/>
              </w:rPr>
              <w:t>环保投资</w:t>
            </w:r>
          </w:p>
          <w:p>
            <w:pPr>
              <w:spacing w:line="360" w:lineRule="auto"/>
              <w:ind w:firstLine="480" w:firstLineChars="200"/>
              <w:rPr>
                <w:b/>
                <w:color w:val="auto"/>
                <w:sz w:val="24"/>
                <w:highlight w:val="yellow"/>
              </w:rPr>
            </w:pPr>
            <w:r>
              <w:rPr>
                <w:color w:val="auto"/>
                <w:sz w:val="24"/>
                <w:highlight w:val="none"/>
              </w:rPr>
              <w:t>本项目总投资</w:t>
            </w:r>
            <w:r>
              <w:rPr>
                <w:rFonts w:hint="eastAsia"/>
                <w:color w:val="auto"/>
                <w:sz w:val="24"/>
                <w:highlight w:val="none"/>
                <w:lang w:val="en-US" w:eastAsia="zh-CN"/>
              </w:rPr>
              <w:t>150</w:t>
            </w:r>
            <w:r>
              <w:rPr>
                <w:color w:val="auto"/>
                <w:sz w:val="24"/>
                <w:highlight w:val="none"/>
              </w:rPr>
              <w:t>万元，环保投资</w:t>
            </w:r>
            <w:r>
              <w:rPr>
                <w:rFonts w:hint="eastAsia"/>
                <w:color w:val="auto"/>
                <w:sz w:val="24"/>
                <w:highlight w:val="none"/>
                <w:lang w:val="en-US" w:eastAsia="zh-CN"/>
              </w:rPr>
              <w:t>5</w:t>
            </w:r>
            <w:r>
              <w:rPr>
                <w:color w:val="auto"/>
                <w:sz w:val="24"/>
                <w:highlight w:val="none"/>
              </w:rPr>
              <w:t>万元，环保总投资占项目总投资的</w:t>
            </w:r>
            <w:r>
              <w:rPr>
                <w:rFonts w:hint="eastAsia"/>
                <w:color w:val="auto"/>
                <w:sz w:val="24"/>
                <w:highlight w:val="none"/>
                <w:lang w:val="en-US" w:eastAsia="zh-CN"/>
              </w:rPr>
              <w:t>3.33</w:t>
            </w:r>
            <w:r>
              <w:rPr>
                <w:color w:val="auto"/>
                <w:sz w:val="24"/>
                <w:highlight w:val="none"/>
              </w:rPr>
              <w:t>%。环保投资详见表</w:t>
            </w:r>
            <w:r>
              <w:rPr>
                <w:rFonts w:hint="eastAsia"/>
                <w:color w:val="auto"/>
                <w:sz w:val="24"/>
                <w:highlight w:val="none"/>
                <w:lang w:val="en-US" w:eastAsia="zh-CN"/>
              </w:rPr>
              <w:t>2-5</w:t>
            </w:r>
            <w:r>
              <w:rPr>
                <w:color w:val="auto"/>
                <w:sz w:val="24"/>
                <w:highlight w:val="none"/>
              </w:rPr>
              <w:t>。</w:t>
            </w:r>
          </w:p>
          <w:p>
            <w:pPr>
              <w:spacing w:line="240" w:lineRule="auto"/>
              <w:jc w:val="center"/>
              <w:rPr>
                <w:b/>
                <w:color w:val="auto"/>
                <w:sz w:val="21"/>
                <w:szCs w:val="21"/>
                <w:highlight w:val="none"/>
              </w:rPr>
            </w:pPr>
            <w:r>
              <w:rPr>
                <w:b/>
                <w:color w:val="auto"/>
                <w:sz w:val="21"/>
                <w:szCs w:val="21"/>
                <w:highlight w:val="none"/>
              </w:rPr>
              <w:t>表</w:t>
            </w:r>
            <w:r>
              <w:rPr>
                <w:rFonts w:hint="eastAsia"/>
                <w:b/>
                <w:color w:val="auto"/>
                <w:sz w:val="21"/>
                <w:szCs w:val="21"/>
                <w:highlight w:val="none"/>
                <w:lang w:val="en-US" w:eastAsia="zh-CN"/>
              </w:rPr>
              <w:t>2-5</w:t>
            </w:r>
            <w:r>
              <w:rPr>
                <w:b/>
                <w:color w:val="auto"/>
                <w:sz w:val="21"/>
                <w:szCs w:val="21"/>
                <w:highlight w:val="none"/>
              </w:rPr>
              <w:t xml:space="preserve"> 环保投资一览表</w:t>
            </w:r>
          </w:p>
          <w:tbl>
            <w:tblPr>
              <w:tblStyle w:val="30"/>
              <w:tblW w:w="858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4723"/>
              <w:gridCol w:w="1374"/>
              <w:gridCol w:w="137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113" w:type="dxa"/>
                  <w:noWrap w:val="0"/>
                  <w:vAlign w:val="center"/>
                </w:tcPr>
                <w:p>
                  <w:pPr>
                    <w:overflowPunct w:val="0"/>
                    <w:jc w:val="center"/>
                    <w:rPr>
                      <w:color w:val="auto"/>
                      <w:szCs w:val="21"/>
                      <w:highlight w:val="none"/>
                    </w:rPr>
                  </w:pPr>
                  <w:r>
                    <w:rPr>
                      <w:color w:val="auto"/>
                      <w:szCs w:val="21"/>
                      <w:highlight w:val="none"/>
                    </w:rPr>
                    <w:t>类别</w:t>
                  </w:r>
                </w:p>
              </w:tc>
              <w:tc>
                <w:tcPr>
                  <w:tcW w:w="4723" w:type="dxa"/>
                  <w:noWrap w:val="0"/>
                  <w:vAlign w:val="center"/>
                </w:tcPr>
                <w:p>
                  <w:pPr>
                    <w:overflowPunct w:val="0"/>
                    <w:jc w:val="center"/>
                    <w:rPr>
                      <w:color w:val="auto"/>
                      <w:szCs w:val="21"/>
                      <w:highlight w:val="none"/>
                    </w:rPr>
                  </w:pPr>
                  <w:r>
                    <w:rPr>
                      <w:color w:val="auto"/>
                      <w:szCs w:val="21"/>
                      <w:highlight w:val="none"/>
                    </w:rPr>
                    <w:t>治理措施</w:t>
                  </w:r>
                </w:p>
              </w:tc>
              <w:tc>
                <w:tcPr>
                  <w:tcW w:w="1374" w:type="dxa"/>
                  <w:noWrap w:val="0"/>
                  <w:vAlign w:val="center"/>
                </w:tcPr>
                <w:p>
                  <w:pPr>
                    <w:overflowPunct w:val="0"/>
                    <w:jc w:val="center"/>
                    <w:rPr>
                      <w:color w:val="auto"/>
                      <w:szCs w:val="21"/>
                      <w:highlight w:val="none"/>
                    </w:rPr>
                  </w:pPr>
                  <w:r>
                    <w:rPr>
                      <w:color w:val="auto"/>
                      <w:szCs w:val="21"/>
                      <w:highlight w:val="none"/>
                    </w:rPr>
                    <w:t>投资（万元）</w:t>
                  </w:r>
                </w:p>
              </w:tc>
              <w:tc>
                <w:tcPr>
                  <w:tcW w:w="1374" w:type="dxa"/>
                  <w:noWrap w:val="0"/>
                  <w:vAlign w:val="center"/>
                </w:tcPr>
                <w:p>
                  <w:pPr>
                    <w:overflowPunct w:val="0"/>
                    <w:jc w:val="center"/>
                    <w:rPr>
                      <w:rFonts w:hint="eastAsia" w:eastAsia="宋体"/>
                      <w:color w:val="auto"/>
                      <w:szCs w:val="21"/>
                      <w:highlight w:val="none"/>
                      <w:lang w:val="en-US" w:eastAsia="zh-CN"/>
                    </w:rPr>
                  </w:pPr>
                  <w:r>
                    <w:rPr>
                      <w:rFonts w:hint="eastAsia"/>
                      <w:color w:val="auto"/>
                      <w:szCs w:val="21"/>
                      <w:highlight w:val="none"/>
                      <w:lang w:val="en-US" w:eastAsia="zh-CN"/>
                    </w:rPr>
                    <w:t>备注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8" w:hRule="atLeast"/>
                <w:jc w:val="center"/>
              </w:trPr>
              <w:tc>
                <w:tcPr>
                  <w:tcW w:w="1113" w:type="dxa"/>
                  <w:vMerge w:val="restart"/>
                  <w:noWrap w:val="0"/>
                  <w:vAlign w:val="center"/>
                </w:tcPr>
                <w:p>
                  <w:pPr>
                    <w:overflowPunct w:val="0"/>
                    <w:jc w:val="center"/>
                    <w:rPr>
                      <w:color w:val="auto"/>
                      <w:szCs w:val="21"/>
                      <w:highlight w:val="none"/>
                    </w:rPr>
                  </w:pPr>
                  <w:r>
                    <w:rPr>
                      <w:color w:val="auto"/>
                      <w:szCs w:val="21"/>
                      <w:highlight w:val="none"/>
                    </w:rPr>
                    <w:t>废气</w:t>
                  </w:r>
                </w:p>
              </w:tc>
              <w:tc>
                <w:tcPr>
                  <w:tcW w:w="4723" w:type="dxa"/>
                  <w:shd w:val="clear" w:color="auto" w:fill="auto"/>
                  <w:noWrap w:val="0"/>
                  <w:vAlign w:val="center"/>
                </w:tcPr>
                <w:p>
                  <w:pPr>
                    <w:overflowPunct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灰渣间</w:t>
                  </w:r>
                  <w:r>
                    <w:rPr>
                      <w:rFonts w:hint="eastAsia"/>
                      <w:color w:val="auto"/>
                      <w:szCs w:val="21"/>
                      <w:highlight w:val="none"/>
                      <w:lang w:val="en-US" w:eastAsia="zh-CN"/>
                    </w:rPr>
                    <w:t>密闭</w:t>
                  </w:r>
                </w:p>
              </w:tc>
              <w:tc>
                <w:tcPr>
                  <w:tcW w:w="1374"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c>
                <w:tcPr>
                  <w:tcW w:w="1374" w:type="dxa"/>
                  <w:noWrap w:val="0"/>
                  <w:vAlign w:val="center"/>
                </w:tcPr>
                <w:p>
                  <w:pPr>
                    <w:overflowPunct w:val="0"/>
                    <w:jc w:val="center"/>
                    <w:rPr>
                      <w:rFonts w:hint="default"/>
                      <w:color w:val="auto"/>
                      <w:szCs w:val="21"/>
                      <w:highlight w:val="none"/>
                      <w:lang w:val="en-US" w:eastAsia="zh-CN"/>
                    </w:rPr>
                  </w:pPr>
                  <w:r>
                    <w:rPr>
                      <w:rFonts w:hint="eastAsia"/>
                      <w:color w:val="auto"/>
                      <w:szCs w:val="21"/>
                      <w:highlight w:val="none"/>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36" w:hRule="atLeast"/>
                <w:jc w:val="center"/>
              </w:trPr>
              <w:tc>
                <w:tcPr>
                  <w:tcW w:w="1113" w:type="dxa"/>
                  <w:vMerge w:val="continue"/>
                  <w:noWrap w:val="0"/>
                  <w:vAlign w:val="center"/>
                </w:tcPr>
                <w:p>
                  <w:pPr>
                    <w:overflowPunct w:val="0"/>
                    <w:jc w:val="center"/>
                    <w:rPr>
                      <w:color w:val="auto"/>
                      <w:szCs w:val="21"/>
                      <w:highlight w:val="none"/>
                    </w:rPr>
                  </w:pPr>
                </w:p>
              </w:tc>
              <w:tc>
                <w:tcPr>
                  <w:tcW w:w="4723" w:type="dxa"/>
                  <w:shd w:val="clear" w:color="auto" w:fill="auto"/>
                  <w:noWrap w:val="0"/>
                  <w:vAlign w:val="center"/>
                </w:tcPr>
                <w:p>
                  <w:pPr>
                    <w:overflowPunct w:val="0"/>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rPr>
                    <w:t>热风炉</w:t>
                  </w:r>
                  <w:r>
                    <w:rPr>
                      <w:rFonts w:hint="eastAsia"/>
                      <w:color w:val="auto"/>
                      <w:szCs w:val="21"/>
                      <w:highlight w:val="none"/>
                      <w:lang w:val="en-US" w:eastAsia="zh-CN"/>
                    </w:rPr>
                    <w:t>采用低氮燃烧技术</w:t>
                  </w:r>
                  <w:r>
                    <w:rPr>
                      <w:rFonts w:hint="eastAsia"/>
                      <w:color w:val="auto"/>
                      <w:szCs w:val="21"/>
                      <w:highlight w:val="none"/>
                    </w:rPr>
                    <w:t>烟气</w:t>
                  </w:r>
                  <w:r>
                    <w:rPr>
                      <w:rFonts w:hint="eastAsia" w:ascii="Times New Roman" w:hAnsi="Times New Roman"/>
                      <w:bCs/>
                      <w:color w:val="auto"/>
                      <w:szCs w:val="21"/>
                      <w:highlight w:val="none"/>
                      <w:lang w:eastAsia="zh-CN"/>
                    </w:rPr>
                    <w:t>通过</w:t>
                  </w:r>
                  <w:r>
                    <w:rPr>
                      <w:rFonts w:ascii="Times New Roman" w:hAnsi="Times New Roman"/>
                      <w:bCs/>
                      <w:color w:val="auto"/>
                      <w:szCs w:val="21"/>
                      <w:highlight w:val="none"/>
                    </w:rPr>
                    <w:t>布袋除尘器</w:t>
                  </w:r>
                  <w:r>
                    <w:rPr>
                      <w:rFonts w:hint="eastAsia"/>
                      <w:color w:val="auto"/>
                      <w:szCs w:val="21"/>
                      <w:highlight w:val="none"/>
                      <w:lang w:val="en-US" w:eastAsia="zh-CN"/>
                    </w:rPr>
                    <w:t>+15</w:t>
                  </w:r>
                  <w:r>
                    <w:rPr>
                      <w:rFonts w:hint="eastAsia"/>
                      <w:color w:val="auto"/>
                      <w:szCs w:val="21"/>
                      <w:highlight w:val="none"/>
                    </w:rPr>
                    <w:t>m高</w:t>
                  </w:r>
                  <w:r>
                    <w:rPr>
                      <w:rFonts w:hint="eastAsia"/>
                      <w:color w:val="auto"/>
                      <w:szCs w:val="21"/>
                      <w:highlight w:val="none"/>
                      <w:lang w:eastAsia="zh-CN"/>
                    </w:rPr>
                    <w:t>烟囱</w:t>
                  </w:r>
                </w:p>
              </w:tc>
              <w:tc>
                <w:tcPr>
                  <w:tcW w:w="1374"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4.5</w:t>
                  </w:r>
                </w:p>
              </w:tc>
              <w:tc>
                <w:tcPr>
                  <w:tcW w:w="1374" w:type="dxa"/>
                  <w:noWrap w:val="0"/>
                  <w:vAlign w:val="center"/>
                </w:tcPr>
                <w:p>
                  <w:pPr>
                    <w:overflowPunct w:val="0"/>
                    <w:jc w:val="center"/>
                    <w:rPr>
                      <w:rFonts w:hint="default" w:eastAsia="宋体"/>
                      <w:color w:val="auto"/>
                      <w:szCs w:val="21"/>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 w:hRule="atLeast"/>
                <w:jc w:val="center"/>
              </w:trPr>
              <w:tc>
                <w:tcPr>
                  <w:tcW w:w="1113" w:type="dxa"/>
                  <w:noWrap w:val="0"/>
                  <w:vAlign w:val="center"/>
                </w:tcPr>
                <w:p>
                  <w:pPr>
                    <w:overflowPunct w:val="0"/>
                    <w:jc w:val="center"/>
                    <w:rPr>
                      <w:color w:val="auto"/>
                      <w:szCs w:val="21"/>
                      <w:highlight w:val="none"/>
                    </w:rPr>
                  </w:pPr>
                  <w:r>
                    <w:rPr>
                      <w:color w:val="auto"/>
                      <w:szCs w:val="21"/>
                      <w:highlight w:val="none"/>
                    </w:rPr>
                    <w:t>固废</w:t>
                  </w:r>
                </w:p>
              </w:tc>
              <w:tc>
                <w:tcPr>
                  <w:tcW w:w="4723" w:type="dxa"/>
                  <w:noWrap w:val="0"/>
                  <w:vAlign w:val="center"/>
                </w:tcPr>
                <w:p>
                  <w:pPr>
                    <w:overflowPunct w:val="0"/>
                    <w:jc w:val="center"/>
                    <w:rPr>
                      <w:rFonts w:hint="eastAsia" w:eastAsia="宋体"/>
                      <w:color w:val="auto"/>
                      <w:szCs w:val="21"/>
                      <w:highlight w:val="none"/>
                      <w:lang w:eastAsia="zh-CN"/>
                    </w:rPr>
                  </w:pPr>
                  <w:r>
                    <w:rPr>
                      <w:rFonts w:hint="eastAsia"/>
                      <w:color w:val="auto"/>
                      <w:szCs w:val="21"/>
                      <w:highlight w:val="none"/>
                    </w:rPr>
                    <w:t>垃圾箱</w:t>
                  </w:r>
                </w:p>
              </w:tc>
              <w:tc>
                <w:tcPr>
                  <w:tcW w:w="1374"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w:t>
                  </w:r>
                </w:p>
              </w:tc>
              <w:tc>
                <w:tcPr>
                  <w:tcW w:w="1374" w:type="dxa"/>
                  <w:noWrap w:val="0"/>
                  <w:vAlign w:val="center"/>
                </w:tcPr>
                <w:p>
                  <w:pPr>
                    <w:overflowPunct w:val="0"/>
                    <w:jc w:val="center"/>
                    <w:rPr>
                      <w:rFonts w:hint="eastAsia"/>
                      <w:color w:val="auto"/>
                      <w:szCs w:val="21"/>
                      <w:highlight w:val="none"/>
                      <w:lang w:val="en-US" w:eastAsia="zh-CN"/>
                    </w:rPr>
                  </w:pPr>
                  <w:r>
                    <w:rPr>
                      <w:rFonts w:hint="eastAsia"/>
                      <w:color w:val="auto"/>
                      <w:szCs w:val="21"/>
                      <w:highlight w:val="none"/>
                      <w:lang w:val="en-US" w:eastAsia="zh-CN"/>
                    </w:rPr>
                    <w:t>依托现有</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jc w:val="center"/>
              </w:trPr>
              <w:tc>
                <w:tcPr>
                  <w:tcW w:w="1113" w:type="dxa"/>
                  <w:noWrap w:val="0"/>
                  <w:vAlign w:val="center"/>
                </w:tcPr>
                <w:p>
                  <w:pPr>
                    <w:overflowPunct w:val="0"/>
                    <w:jc w:val="center"/>
                    <w:rPr>
                      <w:color w:val="auto"/>
                      <w:szCs w:val="21"/>
                      <w:highlight w:val="none"/>
                    </w:rPr>
                  </w:pPr>
                  <w:r>
                    <w:rPr>
                      <w:color w:val="auto"/>
                      <w:szCs w:val="21"/>
                      <w:highlight w:val="none"/>
                    </w:rPr>
                    <w:t>噪声</w:t>
                  </w:r>
                </w:p>
              </w:tc>
              <w:tc>
                <w:tcPr>
                  <w:tcW w:w="4723" w:type="dxa"/>
                  <w:noWrap w:val="0"/>
                  <w:vAlign w:val="center"/>
                </w:tcPr>
                <w:p>
                  <w:pPr>
                    <w:overflowPunct w:val="0"/>
                    <w:jc w:val="center"/>
                    <w:rPr>
                      <w:color w:val="auto"/>
                      <w:szCs w:val="21"/>
                      <w:highlight w:val="none"/>
                    </w:rPr>
                  </w:pPr>
                  <w:r>
                    <w:rPr>
                      <w:rFonts w:hint="eastAsia" w:cs="宋体"/>
                      <w:color w:val="auto"/>
                      <w:szCs w:val="21"/>
                      <w:highlight w:val="none"/>
                    </w:rPr>
                    <w:t>减振装置、隔声措施</w:t>
                  </w:r>
                </w:p>
              </w:tc>
              <w:tc>
                <w:tcPr>
                  <w:tcW w:w="1374"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c>
                <w:tcPr>
                  <w:tcW w:w="1374" w:type="dxa"/>
                  <w:noWrap w:val="0"/>
                  <w:vAlign w:val="center"/>
                </w:tcPr>
                <w:p>
                  <w:pPr>
                    <w:overflowPunct w:val="0"/>
                    <w:jc w:val="center"/>
                    <w:rPr>
                      <w:rFonts w:hint="eastAsia"/>
                      <w:color w:val="auto"/>
                      <w:szCs w:val="21"/>
                      <w:highlight w:val="none"/>
                      <w:lang w:val="en-US" w:eastAsia="zh-CN"/>
                    </w:rPr>
                  </w:pPr>
                  <w:r>
                    <w:rPr>
                      <w:rFonts w:hint="eastAsia"/>
                      <w:color w:val="auto"/>
                      <w:szCs w:val="21"/>
                      <w:highlight w:val="none"/>
                      <w:lang w:val="en-US"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39" w:hRule="atLeast"/>
                <w:jc w:val="center"/>
              </w:trPr>
              <w:tc>
                <w:tcPr>
                  <w:tcW w:w="5836" w:type="dxa"/>
                  <w:gridSpan w:val="2"/>
                  <w:noWrap w:val="0"/>
                  <w:vAlign w:val="center"/>
                </w:tcPr>
                <w:p>
                  <w:pPr>
                    <w:overflowPunct w:val="0"/>
                    <w:ind w:firstLine="420" w:firstLineChars="200"/>
                    <w:jc w:val="center"/>
                    <w:rPr>
                      <w:color w:val="auto"/>
                      <w:szCs w:val="21"/>
                      <w:highlight w:val="none"/>
                    </w:rPr>
                  </w:pPr>
                  <w:r>
                    <w:rPr>
                      <w:color w:val="auto"/>
                      <w:szCs w:val="21"/>
                      <w:highlight w:val="none"/>
                    </w:rPr>
                    <w:t>合计</w:t>
                  </w:r>
                </w:p>
              </w:tc>
              <w:tc>
                <w:tcPr>
                  <w:tcW w:w="1374" w:type="dxa"/>
                  <w:noWrap w:val="0"/>
                  <w:vAlign w:val="center"/>
                </w:tcPr>
                <w:p>
                  <w:pPr>
                    <w:overflowPunct w:val="0"/>
                    <w:jc w:val="center"/>
                    <w:rPr>
                      <w:rFonts w:hint="default" w:eastAsia="宋体"/>
                      <w:color w:val="auto"/>
                      <w:szCs w:val="21"/>
                      <w:highlight w:val="none"/>
                      <w:lang w:val="en-US" w:eastAsia="zh-CN"/>
                    </w:rPr>
                  </w:pPr>
                  <w:r>
                    <w:rPr>
                      <w:rFonts w:hint="eastAsia"/>
                      <w:color w:val="auto"/>
                      <w:szCs w:val="21"/>
                      <w:highlight w:val="none"/>
                      <w:lang w:val="en-US" w:eastAsia="zh-CN"/>
                    </w:rPr>
                    <w:t>0.5</w:t>
                  </w:r>
                </w:p>
              </w:tc>
              <w:tc>
                <w:tcPr>
                  <w:tcW w:w="1374" w:type="dxa"/>
                  <w:noWrap w:val="0"/>
                  <w:vAlign w:val="center"/>
                </w:tcPr>
                <w:p>
                  <w:pPr>
                    <w:overflowPunct w:val="0"/>
                    <w:jc w:val="center"/>
                    <w:rPr>
                      <w:rFonts w:hint="eastAsia"/>
                      <w:color w:val="auto"/>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color w:val="auto"/>
                <w:kern w:val="0"/>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jc w:val="center"/>
        </w:trPr>
        <w:tc>
          <w:tcPr>
            <w:tcW w:w="829"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color w:val="auto"/>
                <w:sz w:val="24"/>
                <w:szCs w:val="24"/>
              </w:rPr>
              <w:t>工艺流程和产排污环节</w:t>
            </w:r>
          </w:p>
        </w:tc>
        <w:tc>
          <w:tcPr>
            <w:tcW w:w="8809" w:type="dxa"/>
            <w:noWrap w:val="0"/>
            <w:vAlign w:val="top"/>
          </w:tcPr>
          <w:p>
            <w:pPr>
              <w:pStyle w:val="109"/>
              <w:spacing w:line="500" w:lineRule="exact"/>
              <w:ind w:firstLine="480"/>
              <w:rPr>
                <w:rFonts w:cs="Times New Roman"/>
                <w:b/>
                <w:bCs/>
                <w:color w:val="auto"/>
                <w:sz w:val="24"/>
                <w:szCs w:val="24"/>
              </w:rPr>
            </w:pPr>
            <w:r>
              <w:rPr>
                <w:rFonts w:cs="Times New Roman"/>
                <w:b/>
                <w:bCs/>
                <w:color w:val="auto"/>
                <w:sz w:val="24"/>
                <w:szCs w:val="24"/>
              </w:rPr>
              <w:t>一、施工期</w:t>
            </w:r>
          </w:p>
          <w:p>
            <w:pPr>
              <w:pStyle w:val="109"/>
              <w:spacing w:line="500" w:lineRule="exact"/>
              <w:ind w:firstLine="480"/>
              <w:rPr>
                <w:rFonts w:hint="default" w:eastAsia="宋体" w:cs="Times New Roman"/>
                <w:color w:val="auto"/>
                <w:sz w:val="24"/>
                <w:szCs w:val="24"/>
                <w:lang w:val="en-US" w:eastAsia="zh-CN"/>
              </w:rPr>
            </w:pPr>
            <w:r>
              <w:rPr>
                <w:rFonts w:hint="eastAsia" w:eastAsia="宋体" w:cs="Times New Roman"/>
                <w:color w:val="auto"/>
                <w:sz w:val="24"/>
                <w:szCs w:val="24"/>
                <w:lang w:val="en-US" w:eastAsia="zh-CN"/>
              </w:rPr>
              <w:t>本项目现有烘干塔与热风炉已被拆除，因此不做分析。</w:t>
            </w:r>
          </w:p>
          <w:p>
            <w:pPr>
              <w:pStyle w:val="109"/>
              <w:spacing w:line="500" w:lineRule="exact"/>
              <w:ind w:firstLine="480"/>
              <w:rPr>
                <w:rFonts w:cs="Times New Roman"/>
                <w:color w:val="auto"/>
                <w:sz w:val="24"/>
                <w:szCs w:val="24"/>
              </w:rPr>
            </w:pPr>
            <w:r>
              <w:rPr>
                <w:rFonts w:cs="Times New Roman"/>
                <w:color w:val="auto"/>
                <w:sz w:val="24"/>
                <w:szCs w:val="24"/>
              </w:rPr>
              <w:t>（1）基础工程施工</w:t>
            </w:r>
          </w:p>
          <w:p>
            <w:pPr>
              <w:pStyle w:val="109"/>
              <w:spacing w:line="500" w:lineRule="exact"/>
              <w:ind w:firstLine="480"/>
              <w:rPr>
                <w:rFonts w:cs="Times New Roman"/>
                <w:color w:val="auto"/>
                <w:sz w:val="24"/>
                <w:szCs w:val="24"/>
              </w:rPr>
            </w:pPr>
            <w:r>
              <w:rPr>
                <w:rFonts w:cs="Times New Roman"/>
                <w:color w:val="auto"/>
                <w:sz w:val="24"/>
                <w:szCs w:val="24"/>
              </w:rPr>
              <w:t>基础工程施工过程中以人工施工为主，配备部分机械施工相结合的方式，在进行场地处理和地基处理施工过程中会产生扬尘、噪声。</w:t>
            </w:r>
          </w:p>
          <w:p>
            <w:pPr>
              <w:pStyle w:val="109"/>
              <w:spacing w:line="500" w:lineRule="exact"/>
              <w:ind w:firstLine="480"/>
              <w:rPr>
                <w:rFonts w:cs="Times New Roman"/>
                <w:color w:val="auto"/>
                <w:sz w:val="24"/>
                <w:szCs w:val="24"/>
              </w:rPr>
            </w:pPr>
            <w:r>
              <w:rPr>
                <w:rFonts w:cs="Times New Roman"/>
                <w:color w:val="auto"/>
                <w:sz w:val="24"/>
                <w:szCs w:val="24"/>
              </w:rPr>
              <w:t>（2）主体建筑施工</w:t>
            </w:r>
          </w:p>
          <w:p>
            <w:pPr>
              <w:pStyle w:val="109"/>
              <w:spacing w:line="500" w:lineRule="exact"/>
              <w:ind w:firstLine="480"/>
              <w:rPr>
                <w:rFonts w:cs="Times New Roman"/>
                <w:color w:val="auto"/>
                <w:sz w:val="24"/>
                <w:szCs w:val="24"/>
              </w:rPr>
            </w:pPr>
            <w:r>
              <w:rPr>
                <w:rFonts w:cs="Times New Roman"/>
                <w:color w:val="auto"/>
                <w:sz w:val="24"/>
                <w:szCs w:val="24"/>
              </w:rPr>
              <w:t>施工过程采用人工施工为主，配有少量的机械施工相结合的方式。噪声影响较小，施工方式合理。钢架结构在厂家内部焊接，运进项目区后做简单的吊装，将钢架跨梁焊接在钢管立柱上，彩钢瓦用钢钉固定在跨梁上。项目主体建筑施工过程中会产生扬尘、噪声和边角材料。</w:t>
            </w:r>
          </w:p>
          <w:p>
            <w:pPr>
              <w:pStyle w:val="109"/>
              <w:spacing w:line="500" w:lineRule="exact"/>
              <w:ind w:firstLine="480"/>
              <w:rPr>
                <w:rFonts w:cs="Times New Roman"/>
                <w:color w:val="auto"/>
                <w:sz w:val="24"/>
                <w:szCs w:val="24"/>
              </w:rPr>
            </w:pPr>
            <w:r>
              <w:rPr>
                <w:rFonts w:cs="Times New Roman"/>
                <w:color w:val="auto"/>
                <w:sz w:val="24"/>
                <w:szCs w:val="24"/>
              </w:rPr>
              <w:t>（3）装修、设备安装</w:t>
            </w:r>
          </w:p>
          <w:p>
            <w:pPr>
              <w:pStyle w:val="109"/>
              <w:spacing w:line="500" w:lineRule="exact"/>
              <w:ind w:firstLine="480"/>
              <w:rPr>
                <w:rFonts w:cs="Times New Roman"/>
                <w:color w:val="auto"/>
                <w:sz w:val="24"/>
                <w:szCs w:val="24"/>
              </w:rPr>
            </w:pPr>
            <w:r>
              <w:rPr>
                <w:rFonts w:cs="Times New Roman"/>
                <w:color w:val="auto"/>
                <w:sz w:val="24"/>
                <w:szCs w:val="24"/>
              </w:rPr>
              <w:t>基础工程和主体建筑施工完毕后，进行装修及设备安装，此过程会产生噪声及粉尘，完毕后随即消失。</w:t>
            </w:r>
          </w:p>
          <w:p>
            <w:pPr>
              <w:pStyle w:val="109"/>
              <w:spacing w:line="500" w:lineRule="exact"/>
              <w:ind w:firstLine="480"/>
              <w:rPr>
                <w:rFonts w:cs="Times New Roman"/>
                <w:color w:val="auto"/>
                <w:sz w:val="24"/>
                <w:szCs w:val="24"/>
              </w:rPr>
            </w:pPr>
            <w:r>
              <w:rPr>
                <w:rFonts w:cs="Times New Roman"/>
                <w:color w:val="auto"/>
                <w:sz w:val="24"/>
                <w:szCs w:val="24"/>
              </w:rPr>
              <w:t>本项目施工期工艺流程及产排污节点见下图。</w:t>
            </w:r>
          </w:p>
          <w:p>
            <w:pPr>
              <w:pStyle w:val="109"/>
              <w:spacing w:line="500" w:lineRule="exact"/>
              <w:ind w:firstLine="480"/>
              <w:jc w:val="center"/>
              <w:rPr>
                <w:rFonts w:ascii="Times New Roman" w:hAnsi="Times New Roman" w:eastAsia="宋体" w:cs="Times New Roman"/>
                <w:b/>
                <w:bCs/>
                <w:color w:val="auto"/>
                <w:kern w:val="2"/>
                <w:sz w:val="24"/>
                <w:szCs w:val="24"/>
                <w:lang w:val="en-US" w:eastAsia="zh-CN" w:bidi="ar-SA"/>
              </w:rPr>
            </w:pPr>
            <w:r>
              <w:rPr>
                <w:color w:val="auto"/>
              </w:rPr>
              <w:drawing>
                <wp:anchor distT="0" distB="0" distL="114300" distR="114300" simplePos="0" relativeHeight="251670528" behindDoc="0" locked="0" layoutInCell="1" allowOverlap="1">
                  <wp:simplePos x="0" y="0"/>
                  <wp:positionH relativeFrom="column">
                    <wp:posOffset>225425</wp:posOffset>
                  </wp:positionH>
                  <wp:positionV relativeFrom="paragraph">
                    <wp:posOffset>59690</wp:posOffset>
                  </wp:positionV>
                  <wp:extent cx="4333875" cy="1181100"/>
                  <wp:effectExtent l="0" t="0" r="9525" b="0"/>
                  <wp:wrapTopAndBottom/>
                  <wp:docPr id="1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3"/>
                          <pic:cNvPicPr>
                            <a:picLocks noChangeAspect="1"/>
                          </pic:cNvPicPr>
                        </pic:nvPicPr>
                        <pic:blipFill>
                          <a:blip r:embed="rId15"/>
                          <a:stretch>
                            <a:fillRect/>
                          </a:stretch>
                        </pic:blipFill>
                        <pic:spPr>
                          <a:xfrm>
                            <a:off x="0" y="0"/>
                            <a:ext cx="4333875" cy="1181100"/>
                          </a:xfrm>
                          <a:prstGeom prst="rect">
                            <a:avLst/>
                          </a:prstGeom>
                          <a:noFill/>
                          <a:ln>
                            <a:noFill/>
                          </a:ln>
                        </pic:spPr>
                      </pic:pic>
                    </a:graphicData>
                  </a:graphic>
                </wp:anchor>
              </w:drawing>
            </w:r>
            <w:r>
              <w:rPr>
                <w:rFonts w:ascii="Times New Roman" w:hAnsi="Times New Roman" w:eastAsia="宋体" w:cs="Times New Roman"/>
                <w:b/>
                <w:bCs/>
                <w:color w:val="auto"/>
                <w:kern w:val="2"/>
                <w:sz w:val="24"/>
                <w:szCs w:val="24"/>
                <w:lang w:val="en-US" w:eastAsia="zh-CN" w:bidi="ar-SA"/>
              </w:rPr>
              <w:t>图2-</w:t>
            </w:r>
            <w:r>
              <w:rPr>
                <w:rFonts w:hint="eastAsia" w:ascii="Times New Roman" w:hAnsi="Times New Roman" w:eastAsia="宋体" w:cs="Times New Roman"/>
                <w:b/>
                <w:bCs/>
                <w:color w:val="auto"/>
                <w:kern w:val="2"/>
                <w:sz w:val="24"/>
                <w:szCs w:val="24"/>
                <w:lang w:val="en-US" w:eastAsia="zh-CN" w:bidi="ar-SA"/>
              </w:rPr>
              <w:t>3</w:t>
            </w:r>
            <w:r>
              <w:rPr>
                <w:rFonts w:ascii="Times New Roman" w:hAnsi="Times New Roman" w:eastAsia="宋体" w:cs="Times New Roman"/>
                <w:b/>
                <w:bCs/>
                <w:color w:val="auto"/>
                <w:kern w:val="2"/>
                <w:sz w:val="24"/>
                <w:szCs w:val="24"/>
                <w:lang w:val="en-US" w:eastAsia="zh-CN" w:bidi="ar-SA"/>
              </w:rPr>
              <w:t>施工期工艺流程及产污节点图</w:t>
            </w:r>
          </w:p>
          <w:p>
            <w:pPr>
              <w:pStyle w:val="109"/>
              <w:spacing w:line="500" w:lineRule="exact"/>
              <w:ind w:firstLine="482" w:firstLineChars="200"/>
              <w:jc w:val="both"/>
              <w:rPr>
                <w:rFonts w:hint="default"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二、运营期</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301615" cy="4035425"/>
                  <wp:effectExtent l="0" t="0" r="13335" b="3175"/>
                  <wp:docPr id="17"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0" descr="IMG_256"/>
                          <pic:cNvPicPr>
                            <a:picLocks noChangeAspect="1"/>
                          </pic:cNvPicPr>
                        </pic:nvPicPr>
                        <pic:blipFill>
                          <a:blip r:embed="rId16"/>
                          <a:stretch>
                            <a:fillRect/>
                          </a:stretch>
                        </pic:blipFill>
                        <pic:spPr>
                          <a:xfrm>
                            <a:off x="0" y="0"/>
                            <a:ext cx="5301615" cy="4035425"/>
                          </a:xfrm>
                          <a:prstGeom prst="rect">
                            <a:avLst/>
                          </a:prstGeom>
                          <a:noFill/>
                          <a:ln w="9525">
                            <a:noFill/>
                          </a:ln>
                        </pic:spPr>
                      </pic:pic>
                    </a:graphicData>
                  </a:graphic>
                </wp:inline>
              </w:drawing>
            </w:r>
          </w:p>
          <w:p>
            <w:pPr>
              <w:adjustRightInd w:val="0"/>
              <w:snapToGrid w:val="0"/>
              <w:spacing w:before="156" w:beforeLines="50"/>
              <w:jc w:val="center"/>
              <w:rPr>
                <w:rFonts w:hint="default" w:ascii="Times New Roman" w:hAnsi="Times New Roman" w:eastAsia="宋体" w:cs="Times New Roman"/>
                <w:color w:val="auto"/>
                <w:szCs w:val="24"/>
                <w:highlight w:val="none"/>
                <w:lang w:eastAsia="zh-CN"/>
              </w:rPr>
            </w:pPr>
          </w:p>
          <w:p>
            <w:pPr>
              <w:pStyle w:val="80"/>
              <w:adjustRightInd/>
              <w:snapToGrid/>
              <w:jc w:val="center"/>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图2-</w:t>
            </w: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 xml:space="preserve"> 本项目工艺流程及产污环节图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本项目生产工艺流程简述如下：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（1）粮食装卸及筛分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进厂潮粮在粮食仓库内卸料后，入烘干塔烘干前，先经清理筛分机去除杂质</w:t>
            </w:r>
            <w:r>
              <w:rPr>
                <w:rFonts w:hint="eastAsia" w:cs="Times New Roman"/>
                <w:color w:val="auto"/>
                <w:kern w:val="0"/>
                <w:sz w:val="24"/>
                <w:szCs w:val="24"/>
                <w:highlight w:val="none"/>
                <w:lang w:val="en-US" w:eastAsia="zh-CN"/>
              </w:rPr>
              <w:t>，将</w:t>
            </w:r>
            <w:r>
              <w:rPr>
                <w:rFonts w:hint="default" w:ascii="Times New Roman" w:hAnsi="Times New Roman" w:cs="Times New Roman"/>
                <w:color w:val="auto"/>
                <w:kern w:val="0"/>
                <w:sz w:val="24"/>
                <w:szCs w:val="24"/>
                <w:highlight w:val="none"/>
                <w:lang w:val="en-US" w:eastAsia="zh-CN"/>
              </w:rPr>
              <w:t>筛分出的石子等杂质集中收集，定期由市政</w:t>
            </w:r>
            <w:r>
              <w:rPr>
                <w:rFonts w:hint="default" w:ascii="Times New Roman" w:hAnsi="Times New Roman" w:cs="Times New Roman"/>
                <w:color w:val="auto"/>
                <w:sz w:val="24"/>
                <w:szCs w:val="24"/>
                <w:lang w:val="en-US" w:eastAsia="zh-CN"/>
              </w:rPr>
              <w:t>环卫</w:t>
            </w:r>
            <w:r>
              <w:rPr>
                <w:rFonts w:hint="default" w:ascii="Times New Roman" w:hAnsi="Times New Roman" w:cs="Times New Roman"/>
                <w:color w:val="auto"/>
                <w:kern w:val="0"/>
                <w:sz w:val="24"/>
                <w:szCs w:val="24"/>
                <w:highlight w:val="none"/>
                <w:lang w:val="en-US" w:eastAsia="zh-CN"/>
              </w:rPr>
              <w:t>部门清理处置。烘干后的干粮</w:t>
            </w:r>
            <w:r>
              <w:rPr>
                <w:rFonts w:hint="eastAsia" w:cs="Times New Roman"/>
                <w:color w:val="auto"/>
                <w:kern w:val="0"/>
                <w:sz w:val="24"/>
                <w:szCs w:val="24"/>
                <w:highlight w:val="none"/>
                <w:lang w:val="en-US" w:eastAsia="zh-CN"/>
              </w:rPr>
              <w:t>经检验后，</w:t>
            </w:r>
            <w:r>
              <w:rPr>
                <w:rFonts w:hint="default" w:ascii="Times New Roman" w:hAnsi="Times New Roman" w:cs="Times New Roman"/>
                <w:color w:val="auto"/>
                <w:kern w:val="0"/>
                <w:sz w:val="24"/>
                <w:szCs w:val="24"/>
                <w:highlight w:val="none"/>
                <w:lang w:val="en-US" w:eastAsia="zh-CN"/>
              </w:rPr>
              <w:t>入库储存，待后续加工单位进库装车运输。</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（2）热气输送至烘干塔流程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冷空气由鼓风机送至热风炉内，热风炉燃生物质成型燃料产生高温烟气，高温烟气通入换热器。另有冷空气进入换热器，经换热器与高温烟气进行热交换后，变为热空气，经风机送至烘干塔内烘干粮食，烘干后的热空气由塔体两侧排气孔排放，交换后的热风炉</w:t>
            </w:r>
            <w:r>
              <w:rPr>
                <w:rFonts w:hint="eastAsia" w:cs="Times New Roman"/>
                <w:color w:val="auto"/>
                <w:sz w:val="24"/>
                <w:szCs w:val="24"/>
                <w:highlight w:val="none"/>
                <w:lang w:val="en-US" w:eastAsia="zh-CN"/>
              </w:rPr>
              <w:t>采用低氮燃烧技术，</w:t>
            </w:r>
            <w:r>
              <w:rPr>
                <w:rFonts w:hint="eastAsia" w:cs="Times New Roman"/>
                <w:color w:val="auto"/>
                <w:kern w:val="0"/>
                <w:sz w:val="24"/>
                <w:szCs w:val="24"/>
                <w:highlight w:val="none"/>
                <w:lang w:val="en-US" w:eastAsia="zh-CN"/>
              </w:rPr>
              <w:t>烟气</w:t>
            </w:r>
            <w:r>
              <w:rPr>
                <w:rFonts w:hint="default" w:ascii="Times New Roman" w:hAnsi="Times New Roman" w:cs="Times New Roman"/>
                <w:color w:val="auto"/>
                <w:kern w:val="0"/>
                <w:sz w:val="24"/>
                <w:szCs w:val="24"/>
                <w:highlight w:val="none"/>
                <w:lang w:val="en-US" w:eastAsia="zh-CN"/>
              </w:rPr>
              <w:t>经布袋除尘器处理达标后由烟囱排放。</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（3）烘干塔内工艺流程</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kern w:val="0"/>
                <w:sz w:val="24"/>
                <w:szCs w:val="24"/>
                <w:highlight w:val="none"/>
                <w:lang w:val="en-US" w:eastAsia="zh-CN"/>
              </w:rPr>
            </w:pPr>
            <w:r>
              <w:rPr>
                <w:rFonts w:hint="default" w:ascii="Times New Roman" w:hAnsi="Times New Roman" w:cs="Times New Roman"/>
                <w:color w:val="auto"/>
                <w:kern w:val="0"/>
                <w:sz w:val="24"/>
                <w:szCs w:val="24"/>
                <w:highlight w:val="none"/>
                <w:lang w:val="en-US" w:eastAsia="zh-CN"/>
              </w:rPr>
              <w:t>在烘干塔内，由于粮食自重，自上而下流动，热风由塔底进入，朝上方向穿过粮层，热风在穿过粮层时，与粮粒间进行湿热传递，热风将热量</w:t>
            </w:r>
            <w:r>
              <w:rPr>
                <w:rFonts w:hint="eastAsia" w:cs="Times New Roman"/>
                <w:color w:val="auto"/>
                <w:kern w:val="0"/>
                <w:sz w:val="24"/>
                <w:szCs w:val="24"/>
                <w:highlight w:val="none"/>
                <w:lang w:val="en-US" w:eastAsia="zh-CN"/>
              </w:rPr>
              <w:t>传给</w:t>
            </w:r>
            <w:r>
              <w:rPr>
                <w:rFonts w:hint="default" w:ascii="Times New Roman" w:hAnsi="Times New Roman" w:cs="Times New Roman"/>
                <w:color w:val="auto"/>
                <w:kern w:val="0"/>
                <w:sz w:val="24"/>
                <w:szCs w:val="24"/>
                <w:highlight w:val="none"/>
                <w:lang w:val="en-US" w:eastAsia="zh-CN"/>
              </w:rPr>
              <w:t>粮粒，与粮食接触温度最高不超过60℃，粮粒受热升温，水分蒸发到空气中，热风携带着水汽及少量颗粒物变成废气经塔体两侧排气孔排放。在这个过程中，粮食温度升得越高，水分就蒸发得越快。为保证粮食的品质，即加工性和食用性，烘干塔内粮食升温幅度和干燥时长是受到严格控制的，其原则是既要降低粮食的水分，又不能损害粮食的品质。在烘干塔内没有布置通风角状管的部位为缓苏段，烘干的热粮向下流动到缓苏段，缓苏段内不通热风，其主要作用是减缓在干燥过程中粮粒内形成的应力，促进谷粒内部水分逐渐向外移动，使粮粒表面和内部的水分趋于平衡。缓苏工艺实施既有利于下一阶段的干燥，又能确保烘后粮的品质。</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highlight w:val="none"/>
                <w:lang w:val="en-US" w:eastAsia="zh-CN"/>
              </w:rPr>
            </w:pPr>
            <w:r>
              <w:rPr>
                <w:rFonts w:hint="default" w:ascii="Times New Roman" w:hAnsi="Times New Roman" w:eastAsia="宋体" w:cs="Times New Roman"/>
                <w:color w:val="auto"/>
                <w:kern w:val="0"/>
                <w:sz w:val="24"/>
                <w:szCs w:val="24"/>
                <w:highlight w:val="none"/>
                <w:lang w:val="en-US" w:eastAsia="zh-CN"/>
              </w:rPr>
              <w:t>本项目运营期污染工序及污染因子见下表：</w:t>
            </w:r>
          </w:p>
          <w:p>
            <w:pPr>
              <w:pStyle w:val="80"/>
              <w:adjustRightInd/>
              <w:snapToGrid/>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lang w:val="en-US" w:eastAsia="zh-CN"/>
              </w:rPr>
              <w:t xml:space="preserve"> 项目产污环节汇总</w:t>
            </w:r>
            <w:r>
              <w:rPr>
                <w:rFonts w:hint="default" w:ascii="Times New Roman" w:hAnsi="Times New Roman" w:cs="Times New Roman"/>
                <w:b/>
                <w:bCs/>
                <w:color w:val="auto"/>
                <w:sz w:val="21"/>
                <w:szCs w:val="21"/>
                <w:highlight w:val="none"/>
              </w:rPr>
              <w:t>表</w:t>
            </w:r>
          </w:p>
          <w:tbl>
            <w:tblPr>
              <w:tblStyle w:val="30"/>
              <w:tblW w:w="8590"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17"/>
              <w:gridCol w:w="3234"/>
              <w:gridCol w:w="272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13" w:type="dxa"/>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序号</w:t>
                  </w:r>
                </w:p>
              </w:tc>
              <w:tc>
                <w:tcPr>
                  <w:tcW w:w="171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污染物类型</w:t>
                  </w: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产污环节</w:t>
                  </w:r>
                </w:p>
              </w:tc>
              <w:tc>
                <w:tcPr>
                  <w:tcW w:w="272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污染因子</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61" w:hRule="atLeast"/>
                <w:jc w:val="center"/>
              </w:trPr>
              <w:tc>
                <w:tcPr>
                  <w:tcW w:w="913" w:type="dxa"/>
                  <w:vMerge w:val="restart"/>
                  <w:noWrap w:val="0"/>
                  <w:vAlign w:val="center"/>
                </w:tcPr>
                <w:p>
                  <w:pPr>
                    <w:adjustRightInd w:val="0"/>
                    <w:snapToGrid w:val="0"/>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1717"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废气</w:t>
                  </w: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装卸、筛分、输送、烘干塔废气等</w:t>
                  </w:r>
                </w:p>
              </w:tc>
              <w:tc>
                <w:tcPr>
                  <w:tcW w:w="272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颗粒物</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89"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热风炉烟气</w:t>
                  </w:r>
                </w:p>
              </w:tc>
              <w:tc>
                <w:tcPr>
                  <w:tcW w:w="272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颗粒物、二氧化硫、氮氧化物、烟气黑度</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13"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w:t>
                  </w:r>
                </w:p>
              </w:tc>
              <w:tc>
                <w:tcPr>
                  <w:tcW w:w="1717"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废水</w:t>
                  </w:r>
                </w:p>
              </w:tc>
              <w:tc>
                <w:tcPr>
                  <w:tcW w:w="323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员工生活</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COD、BOD</w:t>
                  </w:r>
                  <w:r>
                    <w:rPr>
                      <w:rFonts w:hint="default" w:ascii="Times New Roman" w:hAnsi="Times New Roman" w:cs="Times New Roman"/>
                      <w:color w:val="auto"/>
                      <w:szCs w:val="21"/>
                      <w:highlight w:val="none"/>
                      <w:vertAlign w:val="subscript"/>
                      <w:lang w:val="en-US" w:eastAsia="zh-CN"/>
                    </w:rPr>
                    <w:t>5</w:t>
                  </w:r>
                  <w:r>
                    <w:rPr>
                      <w:rFonts w:hint="default" w:ascii="Times New Roman" w:hAnsi="Times New Roman" w:cs="Times New Roman"/>
                      <w:color w:val="auto"/>
                      <w:szCs w:val="21"/>
                      <w:highlight w:val="none"/>
                      <w:lang w:val="en-US" w:eastAsia="zh-CN"/>
                    </w:rPr>
                    <w:t>、SS、氨氮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187"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初期雨水</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SS</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0" w:hRule="atLeast"/>
                <w:jc w:val="center"/>
              </w:trPr>
              <w:tc>
                <w:tcPr>
                  <w:tcW w:w="913" w:type="dxa"/>
                  <w:noWrap w:val="0"/>
                  <w:vAlign w:val="center"/>
                </w:tcPr>
                <w:p>
                  <w:pPr>
                    <w:adjustRightInd w:val="0"/>
                    <w:snapToGrid w:val="0"/>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3</w:t>
                  </w:r>
                </w:p>
              </w:tc>
              <w:tc>
                <w:tcPr>
                  <w:tcW w:w="1717"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噪声</w:t>
                  </w: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清粮筛分机、输送机、风机、烘干塔等设备</w:t>
                  </w:r>
                </w:p>
              </w:tc>
              <w:tc>
                <w:tcPr>
                  <w:tcW w:w="272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机械噪声</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73" w:hRule="atLeast"/>
                <w:jc w:val="center"/>
              </w:trPr>
              <w:tc>
                <w:tcPr>
                  <w:tcW w:w="913" w:type="dxa"/>
                  <w:vMerge w:val="restart"/>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4</w:t>
                  </w:r>
                </w:p>
              </w:tc>
              <w:tc>
                <w:tcPr>
                  <w:tcW w:w="1717" w:type="dxa"/>
                  <w:vMerge w:val="restart"/>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固体废物</w:t>
                  </w: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潮粮进厂筛选</w:t>
                  </w:r>
                </w:p>
              </w:tc>
              <w:tc>
                <w:tcPr>
                  <w:tcW w:w="2726"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沙泥</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color w:val="auto"/>
                      <w:highlight w:val="none"/>
                      <w:lang w:val="en-US" w:eastAsia="zh-CN"/>
                    </w:rPr>
                    <w:t>装卸、折流挡板、</w:t>
                  </w:r>
                  <w:r>
                    <w:rPr>
                      <w:rFonts w:hint="eastAsia" w:ascii="Times New Roman" w:hAnsi="Times New Roman" w:cs="Times New Roman"/>
                      <w:color w:val="auto"/>
                      <w:szCs w:val="21"/>
                      <w:highlight w:val="none"/>
                      <w:lang w:val="en-US" w:eastAsia="zh-CN"/>
                    </w:rPr>
                    <w:t>清理筛、</w:t>
                  </w:r>
                  <w:r>
                    <w:rPr>
                      <w:rFonts w:hint="eastAsia"/>
                      <w:color w:val="auto"/>
                      <w:highlight w:val="none"/>
                      <w:lang w:val="en-US" w:eastAsia="zh-CN"/>
                    </w:rPr>
                    <w:t>粮仓地面等</w:t>
                  </w:r>
                  <w:r>
                    <w:rPr>
                      <w:rFonts w:hint="default" w:ascii="Times New Roman" w:hAnsi="Times New Roman" w:eastAsia="宋体" w:cs="Times New Roman"/>
                      <w:color w:val="auto"/>
                      <w:szCs w:val="21"/>
                      <w:highlight w:val="none"/>
                      <w:lang w:val="en-US" w:eastAsia="zh-CN"/>
                    </w:rPr>
                    <w:t>收尘</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color w:val="auto"/>
                      <w:highlight w:val="none"/>
                      <w:lang w:val="en-US" w:eastAsia="zh-CN"/>
                    </w:rPr>
                  </w:pPr>
                  <w:r>
                    <w:rPr>
                      <w:rFonts w:hint="eastAsia"/>
                      <w:color w:val="auto"/>
                      <w:highlight w:val="none"/>
                      <w:lang w:val="en-US" w:eastAsia="zh-CN"/>
                    </w:rPr>
                    <w:t>干粮检验</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不合格粮食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247"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热风炉灰渣及布袋除尘器收灰</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废布袋、灰渣和粉尘</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302" w:hRule="atLeast"/>
                <w:jc w:val="center"/>
              </w:trPr>
              <w:tc>
                <w:tcPr>
                  <w:tcW w:w="913" w:type="dxa"/>
                  <w:vMerge w:val="continue"/>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p>
              </w:tc>
              <w:tc>
                <w:tcPr>
                  <w:tcW w:w="1717" w:type="dxa"/>
                  <w:vMerge w:val="continue"/>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p>
              </w:tc>
              <w:tc>
                <w:tcPr>
                  <w:tcW w:w="3234" w:type="dxa"/>
                  <w:noWrap w:val="0"/>
                  <w:vAlign w:val="center"/>
                </w:tcPr>
                <w:p>
                  <w:pPr>
                    <w:adjustRightInd w:val="0"/>
                    <w:snapToGrid w:val="0"/>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eastAsia="宋体" w:cs="Times New Roman"/>
                      <w:color w:val="auto"/>
                      <w:szCs w:val="21"/>
                      <w:highlight w:val="none"/>
                      <w:lang w:val="en-US" w:eastAsia="zh-CN"/>
                    </w:rPr>
                    <w:t>员工生活</w:t>
                  </w:r>
                </w:p>
              </w:tc>
              <w:tc>
                <w:tcPr>
                  <w:tcW w:w="2726" w:type="dxa"/>
                  <w:noWrap w:val="0"/>
                  <w:vAlign w:val="center"/>
                </w:tcPr>
                <w:p>
                  <w:pPr>
                    <w:adjustRightInd w:val="0"/>
                    <w:snapToGrid w:val="0"/>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生活垃圾</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Times New Roman"/>
                <w:bCs/>
                <w:color w:val="auto"/>
                <w:szCs w:val="21"/>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19" w:hRule="atLeast"/>
          <w:jc w:val="center"/>
        </w:trPr>
        <w:tc>
          <w:tcPr>
            <w:tcW w:w="829" w:type="dxa"/>
            <w:noWrap w:val="0"/>
            <w:vAlign w:val="center"/>
          </w:tcPr>
          <w:p>
            <w:pPr>
              <w:pStyle w:val="25"/>
              <w:adjustRightInd w:val="0"/>
              <w:snapToGrid w:val="0"/>
              <w:spacing w:before="0" w:beforeAutospacing="0" w:after="0" w:afterAutospacing="0"/>
              <w:jc w:val="center"/>
              <w:rPr>
                <w:rFonts w:hint="default" w:ascii="Times New Roman" w:hAnsi="Times New Roman" w:cs="Times New Roman"/>
                <w:color w:val="auto"/>
                <w:sz w:val="21"/>
                <w:szCs w:val="21"/>
              </w:rPr>
            </w:pPr>
            <w:r>
              <w:rPr>
                <w:rFonts w:hint="default" w:ascii="Times New Roman" w:hAnsi="Times New Roman" w:cs="Times New Roman"/>
                <w:bCs/>
                <w:color w:val="auto"/>
                <w:kern w:val="2"/>
                <w:sz w:val="24"/>
                <w:szCs w:val="24"/>
              </w:rPr>
              <w:t>与项目有关的原有环境污染问题</w:t>
            </w:r>
          </w:p>
        </w:tc>
        <w:tc>
          <w:tcPr>
            <w:tcW w:w="8809" w:type="dxa"/>
            <w:noWrap w:val="0"/>
            <w:vAlign w:val="center"/>
          </w:tcPr>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eastAsia" w:cs="Times New Roman"/>
                <w:b w:val="0"/>
                <w:bCs w:val="0"/>
                <w:color w:val="auto"/>
                <w:sz w:val="24"/>
                <w:szCs w:val="24"/>
                <w:lang w:eastAsia="zh-CN"/>
              </w:rPr>
              <w:t>嘉荫县乌云镇兴民种植农民专业合作社</w:t>
            </w:r>
            <w:r>
              <w:rPr>
                <w:rFonts w:hint="default" w:ascii="Times New Roman" w:hAnsi="Times New Roman" w:cs="Times New Roman"/>
                <w:color w:val="auto"/>
                <w:kern w:val="0"/>
                <w:sz w:val="24"/>
                <w:szCs w:val="24"/>
                <w:lang w:val="en-US" w:eastAsia="zh-CN"/>
              </w:rPr>
              <w:t>位于</w:t>
            </w:r>
            <w:r>
              <w:rPr>
                <w:rFonts w:hint="eastAsia" w:ascii="Times New Roman" w:hAnsi="Times New Roman" w:cs="Times New Roman"/>
                <w:color w:val="auto"/>
                <w:sz w:val="24"/>
                <w:szCs w:val="24"/>
                <w:highlight w:val="none"/>
                <w:lang w:eastAsia="zh-CN"/>
              </w:rPr>
              <w:t>伊春市嘉荫县</w:t>
            </w:r>
            <w:r>
              <w:rPr>
                <w:rFonts w:hint="eastAsia" w:cs="Times New Roman"/>
                <w:color w:val="auto"/>
                <w:sz w:val="24"/>
                <w:szCs w:val="24"/>
                <w:highlight w:val="none"/>
                <w:lang w:val="en-US" w:eastAsia="zh-CN"/>
              </w:rPr>
              <w:t>乌云镇旧城村</w:t>
            </w:r>
            <w:r>
              <w:rPr>
                <w:rFonts w:hint="default" w:ascii="Times New Roman" w:hAnsi="Times New Roman" w:cs="Times New Roman"/>
                <w:color w:val="auto"/>
                <w:kern w:val="0"/>
                <w:sz w:val="24"/>
                <w:szCs w:val="24"/>
                <w:lang w:val="en-US" w:eastAsia="zh-CN"/>
              </w:rPr>
              <w:t>，始建于201</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年，项目总投资</w:t>
            </w:r>
            <w:r>
              <w:rPr>
                <w:rFonts w:hint="eastAsia" w:cs="Times New Roman"/>
                <w:color w:val="auto"/>
                <w:kern w:val="0"/>
                <w:sz w:val="24"/>
                <w:szCs w:val="24"/>
                <w:lang w:val="en-US" w:eastAsia="zh-CN"/>
              </w:rPr>
              <w:t>5</w:t>
            </w:r>
            <w:r>
              <w:rPr>
                <w:rFonts w:hint="default" w:ascii="Times New Roman" w:hAnsi="Times New Roman" w:cs="Times New Roman"/>
                <w:color w:val="auto"/>
                <w:kern w:val="0"/>
                <w:sz w:val="24"/>
                <w:szCs w:val="24"/>
                <w:lang w:val="en-US" w:eastAsia="zh-CN"/>
              </w:rPr>
              <w:t>00万元，总占地面积</w:t>
            </w:r>
            <w:r>
              <w:rPr>
                <w:rFonts w:hint="eastAsia" w:cs="Times New Roman"/>
                <w:color w:val="auto"/>
                <w:kern w:val="0"/>
                <w:sz w:val="24"/>
                <w:szCs w:val="24"/>
                <w:lang w:val="en-US" w:eastAsia="zh-CN"/>
              </w:rPr>
              <w:t>10000</w:t>
            </w:r>
            <w:r>
              <w:rPr>
                <w:rFonts w:hint="default" w:ascii="Times New Roman" w:hAnsi="Times New Roman" w:cs="Times New Roman"/>
                <w:color w:val="auto"/>
                <w:kern w:val="0"/>
                <w:sz w:val="24"/>
                <w:szCs w:val="24"/>
                <w:lang w:val="en-US" w:eastAsia="zh-CN"/>
              </w:rPr>
              <w:t>平方米，日烘干粮食300吨，年运行30天，配套建设一台6t/h燃</w:t>
            </w:r>
            <w:r>
              <w:rPr>
                <w:rFonts w:hint="eastAsia" w:cs="Times New Roman"/>
                <w:color w:val="auto"/>
                <w:kern w:val="0"/>
                <w:sz w:val="24"/>
                <w:szCs w:val="24"/>
                <w:lang w:val="en-US" w:eastAsia="zh-CN"/>
              </w:rPr>
              <w:t>生物质</w:t>
            </w:r>
            <w:r>
              <w:rPr>
                <w:rFonts w:hint="default" w:ascii="Times New Roman" w:hAnsi="Times New Roman" w:cs="Times New Roman"/>
                <w:color w:val="auto"/>
                <w:kern w:val="0"/>
                <w:sz w:val="24"/>
                <w:szCs w:val="24"/>
                <w:lang w:val="en-US" w:eastAsia="zh-CN"/>
              </w:rPr>
              <w:t>热风炉，于201</w:t>
            </w:r>
            <w:r>
              <w:rPr>
                <w:rFonts w:hint="eastAsia" w:cs="Times New Roman"/>
                <w:color w:val="auto"/>
                <w:kern w:val="0"/>
                <w:sz w:val="24"/>
                <w:szCs w:val="24"/>
                <w:lang w:val="en-US" w:eastAsia="zh-CN"/>
              </w:rPr>
              <w:t>9</w:t>
            </w:r>
            <w:r>
              <w:rPr>
                <w:rFonts w:hint="default" w:ascii="Times New Roman" w:hAnsi="Times New Roman" w:cs="Times New Roman"/>
                <w:color w:val="auto"/>
                <w:kern w:val="0"/>
                <w:sz w:val="24"/>
                <w:szCs w:val="24"/>
                <w:lang w:val="en-US" w:eastAsia="zh-CN"/>
              </w:rPr>
              <w:t>年</w:t>
            </w:r>
            <w:r>
              <w:rPr>
                <w:rFonts w:hint="eastAsia" w:cs="Times New Roman"/>
                <w:color w:val="auto"/>
                <w:kern w:val="0"/>
                <w:sz w:val="24"/>
                <w:szCs w:val="24"/>
                <w:lang w:val="en-US" w:eastAsia="zh-CN"/>
              </w:rPr>
              <w:t>10</w:t>
            </w:r>
            <w:r>
              <w:rPr>
                <w:rFonts w:hint="default" w:ascii="Times New Roman" w:hAnsi="Times New Roman" w:cs="Times New Roman"/>
                <w:color w:val="auto"/>
                <w:kern w:val="0"/>
                <w:sz w:val="24"/>
                <w:szCs w:val="24"/>
                <w:lang w:val="en-US" w:eastAsia="zh-CN"/>
              </w:rPr>
              <w:t>月投入生产。</w:t>
            </w:r>
          </w:p>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1、现有工程履行环保手续情况：</w:t>
            </w:r>
          </w:p>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eastAsia" w:cs="Times New Roman"/>
                <w:color w:val="auto"/>
                <w:kern w:val="0"/>
                <w:sz w:val="24"/>
                <w:szCs w:val="24"/>
                <w:lang w:val="en-US" w:eastAsia="zh-CN"/>
              </w:rPr>
              <w:t>该项目</w:t>
            </w:r>
            <w:r>
              <w:rPr>
                <w:rFonts w:hint="default" w:ascii="Times New Roman" w:hAnsi="Times New Roman" w:cs="Times New Roman"/>
                <w:color w:val="auto"/>
                <w:kern w:val="0"/>
                <w:sz w:val="24"/>
                <w:szCs w:val="24"/>
                <w:lang w:val="en-US" w:eastAsia="zh-CN"/>
              </w:rPr>
              <w:t>于2018年</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月</w:t>
            </w:r>
            <w:r>
              <w:rPr>
                <w:rFonts w:hint="eastAsia" w:cs="Times New Roman"/>
                <w:color w:val="auto"/>
                <w:kern w:val="0"/>
                <w:sz w:val="24"/>
                <w:szCs w:val="24"/>
                <w:lang w:val="en-US" w:eastAsia="zh-CN"/>
              </w:rPr>
              <w:t>由山东海特环保科技有限公司</w:t>
            </w:r>
            <w:r>
              <w:rPr>
                <w:rFonts w:hint="default" w:ascii="Times New Roman" w:hAnsi="Times New Roman" w:cs="Times New Roman"/>
                <w:color w:val="auto"/>
                <w:kern w:val="0"/>
                <w:sz w:val="24"/>
                <w:szCs w:val="24"/>
                <w:lang w:val="en-US" w:eastAsia="zh-CN"/>
              </w:rPr>
              <w:t>编制</w:t>
            </w:r>
            <w:r>
              <w:rPr>
                <w:rFonts w:hint="eastAsia" w:cs="Times New Roman"/>
                <w:color w:val="auto"/>
                <w:kern w:val="0"/>
                <w:sz w:val="24"/>
                <w:szCs w:val="24"/>
                <w:lang w:val="en-US" w:eastAsia="zh-CN"/>
              </w:rPr>
              <w:t>了兴民烘干塔及仓储库建设项目</w:t>
            </w:r>
            <w:r>
              <w:rPr>
                <w:rFonts w:hint="default" w:ascii="Times New Roman" w:hAnsi="Times New Roman" w:cs="Times New Roman"/>
                <w:color w:val="auto"/>
                <w:kern w:val="0"/>
                <w:sz w:val="24"/>
                <w:szCs w:val="24"/>
                <w:lang w:val="en-US" w:eastAsia="zh-CN"/>
              </w:rPr>
              <w:t>，于201</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年</w:t>
            </w:r>
            <w:r>
              <w:rPr>
                <w:rFonts w:hint="eastAsia" w:cs="Times New Roman"/>
                <w:color w:val="auto"/>
                <w:kern w:val="0"/>
                <w:sz w:val="24"/>
                <w:szCs w:val="24"/>
                <w:lang w:val="en-US" w:eastAsia="zh-CN"/>
              </w:rPr>
              <w:t>8</w:t>
            </w:r>
            <w:r>
              <w:rPr>
                <w:rFonts w:hint="default" w:ascii="Times New Roman" w:hAnsi="Times New Roman" w:cs="Times New Roman"/>
                <w:color w:val="auto"/>
                <w:kern w:val="0"/>
                <w:sz w:val="24"/>
                <w:szCs w:val="24"/>
                <w:lang w:val="en-US" w:eastAsia="zh-CN"/>
              </w:rPr>
              <w:t>月</w:t>
            </w:r>
            <w:r>
              <w:rPr>
                <w:rFonts w:hint="eastAsia" w:cs="Times New Roman"/>
                <w:color w:val="auto"/>
                <w:kern w:val="0"/>
                <w:sz w:val="24"/>
                <w:szCs w:val="24"/>
                <w:lang w:val="en-US" w:eastAsia="zh-CN"/>
              </w:rPr>
              <w:t>21</w:t>
            </w:r>
            <w:r>
              <w:rPr>
                <w:rFonts w:hint="default" w:ascii="Times New Roman" w:hAnsi="Times New Roman" w:cs="Times New Roman"/>
                <w:color w:val="auto"/>
                <w:kern w:val="0"/>
                <w:sz w:val="24"/>
                <w:szCs w:val="24"/>
                <w:lang w:val="en-US" w:eastAsia="zh-CN"/>
              </w:rPr>
              <w:t>日取得了嘉荫县生态环境局（原嘉荫环境保护局）</w:t>
            </w:r>
            <w:r>
              <w:rPr>
                <w:rFonts w:hint="eastAsia" w:cs="Times New Roman"/>
                <w:color w:val="auto"/>
                <w:kern w:val="0"/>
                <w:sz w:val="24"/>
                <w:szCs w:val="24"/>
                <w:lang w:val="en-US" w:eastAsia="zh-CN"/>
              </w:rPr>
              <w:t>对该项目的批复</w:t>
            </w:r>
            <w:r>
              <w:rPr>
                <w:rFonts w:hint="default" w:ascii="Times New Roman" w:hAnsi="Times New Roman" w:cs="Times New Roman"/>
                <w:color w:val="auto"/>
                <w:kern w:val="0"/>
                <w:sz w:val="24"/>
                <w:szCs w:val="24"/>
                <w:lang w:val="en-US" w:eastAsia="zh-CN"/>
              </w:rPr>
              <w:t>，嘉环</w:t>
            </w:r>
            <w:r>
              <w:rPr>
                <w:rFonts w:hint="eastAsia" w:cs="Times New Roman"/>
                <w:color w:val="auto"/>
                <w:kern w:val="0"/>
                <w:sz w:val="24"/>
                <w:szCs w:val="24"/>
                <w:lang w:val="en-US" w:eastAsia="zh-CN"/>
              </w:rPr>
              <w:t>建审</w:t>
            </w:r>
            <w:r>
              <w:rPr>
                <w:rFonts w:hint="eastAsia" w:ascii="Times New Roman" w:hAnsi="Times New Roman" w:cs="Times New Roman"/>
                <w:color w:val="auto"/>
                <w:kern w:val="0"/>
                <w:sz w:val="24"/>
                <w:szCs w:val="24"/>
                <w:lang w:val="en-US" w:eastAsia="zh-CN"/>
              </w:rPr>
              <w:t>〔201</w:t>
            </w:r>
            <w:r>
              <w:rPr>
                <w:rFonts w:hint="eastAsia" w:cs="Times New Roman"/>
                <w:color w:val="auto"/>
                <w:kern w:val="0"/>
                <w:sz w:val="24"/>
                <w:szCs w:val="24"/>
                <w:lang w:val="en-US" w:eastAsia="zh-CN"/>
              </w:rPr>
              <w:t>8</w:t>
            </w:r>
            <w:r>
              <w:rPr>
                <w:rFonts w:hint="eastAsia" w:ascii="Times New Roman" w:hAnsi="Times New Roman" w:cs="Times New Roman"/>
                <w:color w:val="auto"/>
                <w:kern w:val="0"/>
                <w:sz w:val="24"/>
                <w:szCs w:val="24"/>
                <w:lang w:val="en-US" w:eastAsia="zh-CN"/>
              </w:rPr>
              <w:t>〕</w:t>
            </w:r>
            <w:r>
              <w:rPr>
                <w:rFonts w:hint="eastAsia" w:cs="Times New Roman"/>
                <w:color w:val="auto"/>
                <w:kern w:val="0"/>
                <w:sz w:val="24"/>
                <w:szCs w:val="24"/>
                <w:lang w:val="en-US" w:eastAsia="zh-CN"/>
              </w:rPr>
              <w:t>8</w:t>
            </w:r>
            <w:r>
              <w:rPr>
                <w:rFonts w:hint="eastAsia" w:ascii="Times New Roman" w:hAnsi="Times New Roman" w:cs="Times New Roman"/>
                <w:color w:val="auto"/>
                <w:kern w:val="0"/>
                <w:sz w:val="24"/>
                <w:szCs w:val="24"/>
                <w:lang w:val="en-US" w:eastAsia="zh-CN"/>
              </w:rPr>
              <w:t>号</w:t>
            </w:r>
            <w:r>
              <w:rPr>
                <w:rFonts w:hint="default" w:ascii="Times New Roman" w:hAnsi="Times New Roman" w:cs="Times New Roman"/>
                <w:color w:val="auto"/>
                <w:kern w:val="0"/>
                <w:sz w:val="24"/>
                <w:szCs w:val="24"/>
                <w:lang w:val="en-US" w:eastAsia="zh-CN"/>
              </w:rPr>
              <w:t>。</w:t>
            </w:r>
          </w:p>
          <w:p>
            <w:pPr>
              <w:keepNext w:val="0"/>
              <w:keepLines w:val="0"/>
              <w:pageBreakBefore w:val="0"/>
              <w:widowControl w:val="0"/>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本项目于2021年已取得排污许可证，许可证编号为：93230722090384641M001U，有效期限202</w:t>
            </w:r>
            <w:r>
              <w:rPr>
                <w:rFonts w:hint="eastAsia" w:cs="Times New Roman"/>
                <w:color w:val="auto"/>
                <w:kern w:val="0"/>
                <w:sz w:val="24"/>
                <w:szCs w:val="24"/>
                <w:lang w:val="en-US" w:eastAsia="zh-CN"/>
              </w:rPr>
              <w:t>5</w:t>
            </w:r>
            <w:r>
              <w:rPr>
                <w:rFonts w:hint="default" w:ascii="Times New Roman" w:hAnsi="Times New Roman" w:cs="Times New Roman"/>
                <w:color w:val="auto"/>
                <w:kern w:val="0"/>
                <w:sz w:val="24"/>
                <w:szCs w:val="24"/>
                <w:lang w:val="en-US" w:eastAsia="zh-CN"/>
              </w:rPr>
              <w:t>年10月</w:t>
            </w:r>
            <w:r>
              <w:rPr>
                <w:rFonts w:hint="eastAsia" w:cs="Times New Roman"/>
                <w:color w:val="auto"/>
                <w:kern w:val="0"/>
                <w:sz w:val="24"/>
                <w:szCs w:val="24"/>
                <w:lang w:val="en-US" w:eastAsia="zh-CN"/>
              </w:rPr>
              <w:t>10</w:t>
            </w:r>
            <w:r>
              <w:rPr>
                <w:rFonts w:hint="default" w:ascii="Times New Roman" w:hAnsi="Times New Roman" w:cs="Times New Roman"/>
                <w:color w:val="auto"/>
                <w:kern w:val="0"/>
                <w:sz w:val="24"/>
                <w:szCs w:val="24"/>
                <w:lang w:val="en-US" w:eastAsia="zh-CN"/>
              </w:rPr>
              <w:t>日至20</w:t>
            </w:r>
            <w:r>
              <w:rPr>
                <w:rFonts w:hint="eastAsia" w:cs="Times New Roman"/>
                <w:color w:val="auto"/>
                <w:kern w:val="0"/>
                <w:sz w:val="24"/>
                <w:szCs w:val="24"/>
                <w:lang w:val="en-US" w:eastAsia="zh-CN"/>
              </w:rPr>
              <w:t>30</w:t>
            </w:r>
            <w:r>
              <w:rPr>
                <w:rFonts w:hint="default" w:ascii="Times New Roman" w:hAnsi="Times New Roman" w:cs="Times New Roman"/>
                <w:color w:val="auto"/>
                <w:kern w:val="0"/>
                <w:sz w:val="24"/>
                <w:szCs w:val="24"/>
                <w:lang w:val="en-US" w:eastAsia="zh-CN"/>
              </w:rPr>
              <w:t>年10月</w:t>
            </w:r>
            <w:r>
              <w:rPr>
                <w:rFonts w:hint="eastAsia" w:cs="Times New Roman"/>
                <w:color w:val="auto"/>
                <w:kern w:val="0"/>
                <w:sz w:val="24"/>
                <w:szCs w:val="24"/>
                <w:lang w:val="en-US" w:eastAsia="zh-CN"/>
              </w:rPr>
              <w:t>9</w:t>
            </w:r>
            <w:r>
              <w:rPr>
                <w:rFonts w:hint="default" w:ascii="Times New Roman" w:hAnsi="Times New Roman" w:cs="Times New Roman"/>
                <w:color w:val="auto"/>
                <w:kern w:val="0"/>
                <w:sz w:val="24"/>
                <w:szCs w:val="24"/>
                <w:lang w:val="en-US" w:eastAsia="zh-CN"/>
              </w:rPr>
              <w:t>日。</w:t>
            </w:r>
          </w:p>
          <w:p>
            <w:pPr>
              <w:keepNext w:val="0"/>
              <w:keepLines w:val="0"/>
              <w:pageBreakBefore w:val="0"/>
              <w:widowControl w:val="0"/>
              <w:numPr>
                <w:ilvl w:val="0"/>
                <w:numId w:val="0"/>
              </w:numPr>
              <w:kinsoku/>
              <w:wordWrap/>
              <w:overflowPunct/>
              <w:topLinePunct w:val="0"/>
              <w:bidi w:val="0"/>
              <w:spacing w:line="360" w:lineRule="auto"/>
              <w:ind w:left="0" w:leftChars="0"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bidi="ar-SA"/>
              </w:rPr>
              <w:t>2、</w:t>
            </w:r>
            <w:r>
              <w:rPr>
                <w:rFonts w:hint="default" w:ascii="Times New Roman" w:hAnsi="Times New Roman" w:cs="Times New Roman"/>
                <w:color w:val="auto"/>
                <w:kern w:val="0"/>
                <w:sz w:val="24"/>
                <w:szCs w:val="24"/>
                <w:lang w:val="en-US" w:eastAsia="zh-CN"/>
              </w:rPr>
              <w:t>现有工程污染物排放情况</w:t>
            </w:r>
          </w:p>
          <w:p>
            <w:pPr>
              <w:keepNext w:val="0"/>
              <w:keepLines w:val="0"/>
              <w:pageBreakBefore w:val="0"/>
              <w:widowControl w:val="0"/>
              <w:numPr>
                <w:ilvl w:val="0"/>
                <w:numId w:val="3"/>
              </w:numPr>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废气</w:t>
            </w:r>
          </w:p>
          <w:p>
            <w:pPr>
              <w:keepNext w:val="0"/>
              <w:keepLines w:val="0"/>
              <w:pageBreakBefore w:val="0"/>
              <w:widowControl w:val="0"/>
              <w:numPr>
                <w:ilvl w:val="0"/>
                <w:numId w:val="0"/>
              </w:numPr>
              <w:kinsoku/>
              <w:wordWrap/>
              <w:overflowPunct/>
              <w:topLinePunct w:val="0"/>
              <w:bidi w:val="0"/>
              <w:spacing w:line="360" w:lineRule="auto"/>
              <w:ind w:left="0" w:leftChars="0" w:firstLine="480" w:firstLineChars="200"/>
              <w:textAlignment w:val="auto"/>
              <w:rPr>
                <w:rFonts w:hint="default" w:ascii="Times New Roman" w:hAnsi="Times New Roman" w:cs="Times New Roman"/>
                <w:color w:val="auto"/>
                <w:sz w:val="24"/>
                <w:szCs w:val="24"/>
                <w:lang w:val="en-US" w:eastAsia="zh-CN"/>
              </w:rPr>
            </w:pPr>
            <w:r>
              <w:rPr>
                <w:rFonts w:hint="eastAsia" w:cs="Times New Roman"/>
                <w:color w:val="auto"/>
                <w:kern w:val="0"/>
                <w:sz w:val="24"/>
                <w:szCs w:val="24"/>
                <w:lang w:val="en-US" w:eastAsia="zh-CN"/>
              </w:rPr>
              <w:t>根据</w:t>
            </w:r>
            <w:r>
              <w:rPr>
                <w:rFonts w:hint="default" w:ascii="Times New Roman" w:hAnsi="Times New Roman" w:cs="Times New Roman"/>
                <w:color w:val="auto"/>
                <w:kern w:val="0"/>
                <w:sz w:val="24"/>
                <w:szCs w:val="24"/>
                <w:lang w:val="en-US" w:eastAsia="zh-CN"/>
              </w:rPr>
              <w:t>202</w:t>
            </w:r>
            <w:r>
              <w:rPr>
                <w:rFonts w:hint="eastAsia" w:cs="Times New Roman"/>
                <w:color w:val="auto"/>
                <w:kern w:val="0"/>
                <w:sz w:val="24"/>
                <w:szCs w:val="24"/>
                <w:lang w:val="en-US" w:eastAsia="zh-CN"/>
              </w:rPr>
              <w:t>5</w:t>
            </w:r>
            <w:r>
              <w:rPr>
                <w:rFonts w:hint="default" w:ascii="Times New Roman" w:hAnsi="Times New Roman" w:cs="Times New Roman"/>
                <w:color w:val="auto"/>
                <w:kern w:val="0"/>
                <w:sz w:val="24"/>
                <w:szCs w:val="24"/>
                <w:lang w:val="en-US" w:eastAsia="zh-CN"/>
              </w:rPr>
              <w:t>年</w:t>
            </w:r>
            <w:r>
              <w:rPr>
                <w:rFonts w:hint="eastAsia" w:cs="Times New Roman"/>
                <w:color w:val="auto"/>
                <w:kern w:val="0"/>
                <w:sz w:val="24"/>
                <w:szCs w:val="24"/>
                <w:lang w:val="en-US" w:eastAsia="zh-CN"/>
              </w:rPr>
              <w:t>11</w:t>
            </w:r>
            <w:r>
              <w:rPr>
                <w:rFonts w:hint="default" w:ascii="Times New Roman" w:hAnsi="Times New Roman" w:cs="Times New Roman"/>
                <w:color w:val="auto"/>
                <w:kern w:val="0"/>
                <w:sz w:val="24"/>
                <w:szCs w:val="24"/>
                <w:lang w:val="en-US" w:eastAsia="zh-CN"/>
              </w:rPr>
              <w:t>月2</w:t>
            </w:r>
            <w:r>
              <w:rPr>
                <w:rFonts w:hint="eastAsia" w:cs="Times New Roman"/>
                <w:color w:val="auto"/>
                <w:kern w:val="0"/>
                <w:sz w:val="24"/>
                <w:szCs w:val="24"/>
                <w:lang w:val="en-US" w:eastAsia="zh-CN"/>
              </w:rPr>
              <w:t>3</w:t>
            </w:r>
            <w:r>
              <w:rPr>
                <w:rFonts w:hint="default" w:ascii="Times New Roman" w:hAnsi="Times New Roman" w:cs="Times New Roman"/>
                <w:color w:val="auto"/>
                <w:kern w:val="0"/>
                <w:sz w:val="24"/>
                <w:szCs w:val="24"/>
                <w:lang w:val="en-US" w:eastAsia="zh-CN"/>
              </w:rPr>
              <w:t>出具的例行监测报告</w:t>
            </w:r>
            <w:r>
              <w:rPr>
                <w:rFonts w:hint="eastAsia" w:ascii="Times New Roman" w:hAnsi="Times New Roman"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本项目热风炉有组织废气采用布袋除尘器+15m高排气筒排放，根据例行监测报告，热风炉有组织废气中颗粒物平均排放浓度为</w:t>
            </w:r>
            <w:r>
              <w:rPr>
                <w:rFonts w:hint="eastAsia" w:cs="Times New Roman"/>
                <w:color w:val="auto"/>
                <w:kern w:val="0"/>
                <w:sz w:val="24"/>
                <w:szCs w:val="24"/>
                <w:lang w:val="en-US" w:eastAsia="zh-CN"/>
              </w:rPr>
              <w:t>17</w:t>
            </w:r>
            <w:r>
              <w:rPr>
                <w:rFonts w:hint="default" w:ascii="Times New Roman" w:hAnsi="Times New Roman" w:cs="Times New Roman"/>
                <w:color w:val="auto"/>
                <w:kern w:val="0"/>
                <w:sz w:val="24"/>
                <w:szCs w:val="24"/>
                <w:lang w:val="en-US" w:eastAsia="zh-CN"/>
              </w:rPr>
              <w:t>mg/m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，二氧化硫平均排放浓度为</w:t>
            </w:r>
            <w:r>
              <w:rPr>
                <w:rFonts w:hint="eastAsia" w:cs="Times New Roman"/>
                <w:color w:val="auto"/>
                <w:kern w:val="0"/>
                <w:sz w:val="24"/>
                <w:szCs w:val="24"/>
                <w:lang w:val="en-US" w:eastAsia="zh-CN"/>
              </w:rPr>
              <w:t>17</w:t>
            </w:r>
            <w:r>
              <w:rPr>
                <w:rFonts w:hint="default" w:ascii="Times New Roman" w:hAnsi="Times New Roman" w:cs="Times New Roman"/>
                <w:color w:val="auto"/>
                <w:kern w:val="0"/>
                <w:sz w:val="24"/>
                <w:szCs w:val="24"/>
                <w:lang w:val="en-US" w:eastAsia="zh-CN"/>
              </w:rPr>
              <w:t>mg/m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，氮氧化物平均排放浓度为</w:t>
            </w:r>
            <w:r>
              <w:rPr>
                <w:rFonts w:hint="eastAsia" w:cs="Times New Roman"/>
                <w:color w:val="auto"/>
                <w:kern w:val="0"/>
                <w:sz w:val="24"/>
                <w:szCs w:val="24"/>
                <w:lang w:val="en-US" w:eastAsia="zh-CN"/>
              </w:rPr>
              <w:t>114</w:t>
            </w:r>
            <w:r>
              <w:rPr>
                <w:rFonts w:hint="default" w:ascii="Times New Roman" w:hAnsi="Times New Roman" w:cs="Times New Roman"/>
                <w:color w:val="auto"/>
                <w:kern w:val="0"/>
                <w:sz w:val="24"/>
                <w:szCs w:val="24"/>
                <w:lang w:val="en-US" w:eastAsia="zh-CN"/>
              </w:rPr>
              <w:t>mg/m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，烟气黑度&lt;1级。热风炉有组织废气中各项污染物排放浓度满足</w:t>
            </w:r>
            <w:r>
              <w:rPr>
                <w:rFonts w:hint="default" w:ascii="Times New Roman" w:hAnsi="Times New Roman" w:eastAsia="宋体" w:cs="Times New Roman"/>
                <w:color w:val="auto"/>
                <w:sz w:val="24"/>
                <w:szCs w:val="24"/>
                <w:lang w:val="en-US" w:eastAsia="zh-CN"/>
              </w:rPr>
              <w:t>《工业炉窑大气污染物排放标准》（GB9078-1996）</w:t>
            </w:r>
            <w:r>
              <w:rPr>
                <w:rFonts w:hint="default" w:ascii="Times New Roman" w:hAnsi="Times New Roman" w:cs="Times New Roman"/>
                <w:color w:val="auto"/>
                <w:sz w:val="24"/>
                <w:szCs w:val="24"/>
                <w:lang w:val="en-US" w:eastAsia="zh-CN"/>
              </w:rPr>
              <w:t>。厂界无组织颗粒物排放浓度为0.1</w:t>
            </w:r>
            <w:r>
              <w:rPr>
                <w:rFonts w:hint="eastAsia" w:cs="Times New Roman"/>
                <w:color w:val="auto"/>
                <w:sz w:val="24"/>
                <w:szCs w:val="24"/>
                <w:lang w:val="en-US" w:eastAsia="zh-CN"/>
              </w:rPr>
              <w:t>68</w:t>
            </w:r>
            <w:r>
              <w:rPr>
                <w:rFonts w:hint="default" w:ascii="Times New Roman" w:hAnsi="Times New Roman" w:cs="Times New Roman"/>
                <w:color w:val="auto"/>
                <w:sz w:val="24"/>
                <w:szCs w:val="24"/>
                <w:lang w:val="en-US" w:eastAsia="zh-CN"/>
              </w:rPr>
              <w:t>-0.</w:t>
            </w:r>
            <w:r>
              <w:rPr>
                <w:rFonts w:hint="eastAsia" w:cs="Times New Roman"/>
                <w:color w:val="auto"/>
                <w:sz w:val="24"/>
                <w:szCs w:val="24"/>
                <w:lang w:val="en-US" w:eastAsia="zh-CN"/>
              </w:rPr>
              <w:t>330</w:t>
            </w:r>
            <w:r>
              <w:rPr>
                <w:rFonts w:hint="default" w:ascii="Times New Roman" w:hAnsi="Times New Roman" w:cs="Times New Roman"/>
                <w:color w:val="auto"/>
                <w:kern w:val="0"/>
                <w:sz w:val="24"/>
                <w:szCs w:val="24"/>
                <w:lang w:val="en-US" w:eastAsia="zh-CN"/>
              </w:rPr>
              <w:t>mg/m</w:t>
            </w:r>
            <w:r>
              <w:rPr>
                <w:rFonts w:hint="default" w:ascii="Times New Roman" w:hAnsi="Times New Roman" w:cs="Times New Roman"/>
                <w:color w:val="auto"/>
                <w:kern w:val="0"/>
                <w:sz w:val="24"/>
                <w:szCs w:val="24"/>
                <w:vertAlign w:val="superscript"/>
                <w:lang w:val="en-US" w:eastAsia="zh-CN"/>
              </w:rPr>
              <w:t>3</w:t>
            </w:r>
            <w:r>
              <w:rPr>
                <w:rFonts w:hint="default" w:ascii="Times New Roman" w:hAnsi="Times New Roman" w:cs="Times New Roman"/>
                <w:color w:val="auto"/>
                <w:kern w:val="0"/>
                <w:sz w:val="24"/>
                <w:szCs w:val="24"/>
                <w:lang w:val="en-US" w:eastAsia="zh-CN"/>
              </w:rPr>
              <w:t>，满足</w:t>
            </w: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r>
              <w:rPr>
                <w:rFonts w:hint="default" w:ascii="Times New Roman" w:hAnsi="Times New Roman" w:cs="Times New Roman"/>
                <w:color w:val="auto"/>
                <w:sz w:val="24"/>
                <w:szCs w:val="24"/>
                <w:lang w:val="en-US" w:eastAsia="zh-CN"/>
              </w:rPr>
              <w:t>。</w:t>
            </w:r>
          </w:p>
          <w:p>
            <w:pPr>
              <w:keepNext w:val="0"/>
              <w:keepLines w:val="0"/>
              <w:pageBreakBefore w:val="0"/>
              <w:widowControl w:val="0"/>
              <w:numPr>
                <w:ilvl w:val="0"/>
                <w:numId w:val="3"/>
              </w:numPr>
              <w:kinsoku/>
              <w:wordWrap/>
              <w:overflowPunct/>
              <w:topLinePunct w:val="0"/>
              <w:bidi w:val="0"/>
              <w:spacing w:line="360" w:lineRule="auto"/>
              <w:ind w:left="0" w:leftChars="0" w:firstLine="480" w:firstLineChars="200"/>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噪声</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根据</w:t>
            </w:r>
            <w:r>
              <w:rPr>
                <w:rFonts w:hint="eastAsia" w:cs="Times New Roman"/>
                <w:color w:val="auto"/>
                <w:kern w:val="0"/>
                <w:sz w:val="24"/>
                <w:szCs w:val="24"/>
                <w:lang w:val="en-US" w:eastAsia="zh-CN"/>
              </w:rPr>
              <w:t>验收监测</w:t>
            </w:r>
            <w:r>
              <w:rPr>
                <w:rFonts w:hint="default" w:ascii="Times New Roman" w:hAnsi="Times New Roman" w:cs="Times New Roman"/>
                <w:color w:val="auto"/>
                <w:kern w:val="0"/>
                <w:sz w:val="24"/>
                <w:szCs w:val="24"/>
                <w:lang w:val="en-US" w:eastAsia="zh-CN"/>
              </w:rPr>
              <w:t>报告，厂界东侧、西侧、北侧昼间厂界噪声为</w:t>
            </w:r>
            <w:r>
              <w:rPr>
                <w:rFonts w:hint="eastAsia" w:cs="Times New Roman"/>
                <w:color w:val="auto"/>
                <w:kern w:val="0"/>
                <w:sz w:val="24"/>
                <w:szCs w:val="24"/>
                <w:lang w:val="en-US" w:eastAsia="zh-CN"/>
              </w:rPr>
              <w:t>50.1-58.2</w:t>
            </w:r>
            <w:r>
              <w:rPr>
                <w:rFonts w:hint="default" w:ascii="Times New Roman" w:hAnsi="Times New Roman" w:cs="Times New Roman"/>
                <w:color w:val="auto"/>
                <w:kern w:val="0"/>
                <w:sz w:val="24"/>
                <w:szCs w:val="24"/>
                <w:lang w:val="en-US" w:eastAsia="zh-CN"/>
              </w:rPr>
              <w:t>dB（A），夜间厂界噪声为</w:t>
            </w:r>
            <w:r>
              <w:rPr>
                <w:rFonts w:hint="eastAsia" w:cs="Times New Roman"/>
                <w:color w:val="auto"/>
                <w:kern w:val="0"/>
                <w:sz w:val="24"/>
                <w:szCs w:val="24"/>
                <w:lang w:val="en-US" w:eastAsia="zh-CN"/>
              </w:rPr>
              <w:t>41.3-42.5</w:t>
            </w:r>
            <w:r>
              <w:rPr>
                <w:rFonts w:hint="default" w:ascii="Times New Roman" w:hAnsi="Times New Roman" w:cs="Times New Roman"/>
                <w:color w:val="auto"/>
                <w:kern w:val="0"/>
                <w:sz w:val="24"/>
                <w:szCs w:val="24"/>
                <w:lang w:val="en-US" w:eastAsia="zh-CN"/>
              </w:rPr>
              <w:t>dB（A），满足《工业企业厂界环境噪声排放标准》(GB12348-2008)中2类标准要求</w:t>
            </w:r>
            <w:r>
              <w:rPr>
                <w:rFonts w:hint="eastAsia" w:cs="Times New Roman"/>
                <w:color w:val="auto"/>
                <w:kern w:val="0"/>
                <w:sz w:val="24"/>
                <w:szCs w:val="24"/>
                <w:lang w:val="en-US" w:eastAsia="zh-CN"/>
              </w:rPr>
              <w:t>，厂界南侧昼间噪声为52.8-53.6</w:t>
            </w:r>
            <w:r>
              <w:rPr>
                <w:rFonts w:hint="default" w:ascii="Times New Roman" w:hAnsi="Times New Roman" w:cs="Times New Roman"/>
                <w:color w:val="auto"/>
                <w:kern w:val="0"/>
                <w:sz w:val="24"/>
                <w:szCs w:val="24"/>
                <w:lang w:val="en-US" w:eastAsia="zh-CN"/>
              </w:rPr>
              <w:t>B（A），夜间厂界噪声为</w:t>
            </w:r>
            <w:r>
              <w:rPr>
                <w:rFonts w:hint="eastAsia" w:cs="Times New Roman"/>
                <w:color w:val="auto"/>
                <w:kern w:val="0"/>
                <w:sz w:val="24"/>
                <w:szCs w:val="24"/>
                <w:lang w:val="en-US" w:eastAsia="zh-CN"/>
              </w:rPr>
              <w:t>41.2-42.6</w:t>
            </w:r>
            <w:r>
              <w:rPr>
                <w:rFonts w:hint="default" w:ascii="Times New Roman" w:hAnsi="Times New Roman" w:cs="Times New Roman"/>
                <w:color w:val="auto"/>
                <w:kern w:val="0"/>
                <w:sz w:val="24"/>
                <w:szCs w:val="24"/>
                <w:lang w:val="en-US" w:eastAsia="zh-CN"/>
              </w:rPr>
              <w:t>dB（A），</w:t>
            </w:r>
            <w:r>
              <w:rPr>
                <w:rFonts w:hint="eastAsia" w:ascii="Times New Roman" w:hAnsi="Times New Roman" w:cs="Times New Roman"/>
                <w:color w:val="auto"/>
                <w:kern w:val="0"/>
                <w:sz w:val="24"/>
                <w:szCs w:val="24"/>
                <w:lang w:val="en-US" w:eastAsia="zh-CN"/>
              </w:rPr>
              <w:t>满足</w:t>
            </w:r>
            <w:r>
              <w:rPr>
                <w:rFonts w:hint="default" w:ascii="Times New Roman" w:hAnsi="Times New Roman" w:cs="Times New Roman"/>
                <w:color w:val="auto"/>
                <w:kern w:val="0"/>
                <w:sz w:val="24"/>
                <w:szCs w:val="24"/>
                <w:lang w:val="en-US" w:eastAsia="zh-CN"/>
              </w:rPr>
              <w:t>《工业企业厂界环境噪声排放标准》(GB12348-2008)中</w:t>
            </w:r>
            <w:r>
              <w:rPr>
                <w:rFonts w:hint="eastAsia"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lang w:val="en-US" w:eastAsia="zh-CN"/>
              </w:rPr>
              <w:t>类标准要求</w:t>
            </w:r>
            <w:r>
              <w:rPr>
                <w:rFonts w:hint="eastAsia" w:ascii="Times New Roman" w:hAnsi="Times New Roman" w:cs="Times New Roman"/>
                <w:color w:val="auto"/>
                <w:kern w:val="0"/>
                <w:sz w:val="24"/>
                <w:szCs w:val="24"/>
                <w:lang w:val="en-US" w:eastAsia="zh-CN"/>
              </w:rPr>
              <w:t>。</w:t>
            </w:r>
          </w:p>
          <w:p>
            <w:pPr>
              <w:keepNext w:val="0"/>
              <w:keepLines w:val="0"/>
              <w:pageBreakBefore w:val="0"/>
              <w:widowControl w:val="0"/>
              <w:numPr>
                <w:ilvl w:val="0"/>
                <w:numId w:val="3"/>
              </w:numPr>
              <w:kinsoku/>
              <w:wordWrap/>
              <w:overflowPunct/>
              <w:topLinePunct w:val="0"/>
              <w:bidi w:val="0"/>
              <w:spacing w:line="360" w:lineRule="auto"/>
              <w:ind w:left="0" w:leftChars="0"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废水</w:t>
            </w:r>
          </w:p>
          <w:p>
            <w:pPr>
              <w:keepNext w:val="0"/>
              <w:keepLines w:val="0"/>
              <w:pageBreakBefore w:val="0"/>
              <w:widowControl w:val="0"/>
              <w:numPr>
                <w:ilvl w:val="0"/>
                <w:numId w:val="0"/>
              </w:numPr>
              <w:kinsoku/>
              <w:wordWrap/>
              <w:overflowPunct/>
              <w:topLinePunct w:val="0"/>
              <w:bidi w:val="0"/>
              <w:spacing w:line="360" w:lineRule="auto"/>
              <w:ind w:left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本项目生活污水排入防渗旱厕，定期清掏，外运堆肥。</w:t>
            </w:r>
          </w:p>
          <w:p>
            <w:pPr>
              <w:keepNext w:val="0"/>
              <w:keepLines w:val="0"/>
              <w:pageBreakBefore w:val="0"/>
              <w:widowControl w:val="0"/>
              <w:numPr>
                <w:ilvl w:val="0"/>
                <w:numId w:val="3"/>
              </w:numPr>
              <w:kinsoku/>
              <w:wordWrap/>
              <w:overflowPunct/>
              <w:topLinePunct w:val="0"/>
              <w:bidi w:val="0"/>
              <w:spacing w:line="360" w:lineRule="auto"/>
              <w:ind w:left="0" w:leftChars="0"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固废</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default" w:ascii="Times New Roman" w:hAnsi="Times New Roman" w:cs="Times New Roman"/>
                <w:color w:val="auto"/>
                <w:kern w:val="0"/>
                <w:sz w:val="24"/>
                <w:szCs w:val="24"/>
                <w:lang w:val="en-US" w:eastAsia="zh-CN"/>
              </w:rPr>
              <w:t>本项目生活垃圾</w:t>
            </w:r>
            <w:r>
              <w:rPr>
                <w:rFonts w:hint="eastAsia" w:cs="Times New Roman"/>
                <w:color w:val="auto"/>
                <w:kern w:val="0"/>
                <w:sz w:val="24"/>
                <w:szCs w:val="24"/>
                <w:lang w:val="en-US" w:eastAsia="zh-CN"/>
              </w:rPr>
              <w:t>a</w:t>
            </w:r>
            <w:r>
              <w:rPr>
                <w:rFonts w:hint="default" w:ascii="Times New Roman" w:hAnsi="Times New Roman" w:cs="Times New Roman"/>
                <w:color w:val="auto"/>
                <w:kern w:val="0"/>
                <w:sz w:val="24"/>
                <w:szCs w:val="24"/>
                <w:lang w:val="en-US" w:eastAsia="zh-CN"/>
              </w:rPr>
              <w:t>、清理原粮中的杂质（泥沙）</w:t>
            </w:r>
            <w:r>
              <w:rPr>
                <w:rFonts w:hint="eastAsia"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集中收集，依托当地环卫部门统一收集处理。</w:t>
            </w:r>
            <w:r>
              <w:rPr>
                <w:rFonts w:hint="eastAsia" w:cs="Times New Roman"/>
                <w:color w:val="auto"/>
                <w:kern w:val="0"/>
                <w:sz w:val="24"/>
                <w:szCs w:val="24"/>
                <w:lang w:val="en-US" w:eastAsia="zh-CN"/>
              </w:rPr>
              <w:t>灰渣</w:t>
            </w:r>
            <w:r>
              <w:rPr>
                <w:rFonts w:hint="default" w:ascii="Times New Roman" w:hAnsi="Times New Roman" w:cs="Times New Roman"/>
                <w:color w:val="auto"/>
                <w:kern w:val="0"/>
                <w:sz w:val="24"/>
                <w:szCs w:val="24"/>
                <w:lang w:val="en-US" w:eastAsia="zh-CN"/>
              </w:rPr>
              <w:t>、除尘灰外售</w:t>
            </w:r>
            <w:r>
              <w:rPr>
                <w:rFonts w:hint="eastAsia" w:cs="Times New Roman"/>
                <w:color w:val="auto"/>
                <w:kern w:val="0"/>
                <w:sz w:val="24"/>
                <w:szCs w:val="24"/>
                <w:lang w:val="en-US" w:eastAsia="zh-CN"/>
              </w:rPr>
              <w:t>给旧城村孵化养殖场做肥料使用</w:t>
            </w:r>
            <w:r>
              <w:rPr>
                <w:rFonts w:hint="default" w:ascii="Times New Roman" w:hAnsi="Times New Roman" w:cs="Times New Roman"/>
                <w:color w:val="auto"/>
                <w:kern w:val="0"/>
                <w:sz w:val="24"/>
                <w:szCs w:val="24"/>
                <w:lang w:val="en-US" w:eastAsia="zh-CN"/>
              </w:rPr>
              <w:t>。装卸、筛分、输送、烘干塔运行产生的粉尘，集中收集，外售</w:t>
            </w:r>
            <w:r>
              <w:rPr>
                <w:rFonts w:hint="eastAsia" w:cs="Times New Roman"/>
                <w:color w:val="auto"/>
                <w:kern w:val="0"/>
                <w:sz w:val="24"/>
                <w:szCs w:val="24"/>
                <w:lang w:val="en-US" w:eastAsia="zh-CN"/>
              </w:rPr>
              <w:t>给旧城村孵化养殖场做肥料使用</w:t>
            </w:r>
            <w:r>
              <w:rPr>
                <w:rFonts w:hint="default" w:ascii="Times New Roman" w:hAnsi="Times New Roman" w:cs="Times New Roman"/>
                <w:color w:val="auto"/>
                <w:kern w:val="0"/>
                <w:sz w:val="24"/>
                <w:szCs w:val="24"/>
                <w:lang w:val="en-US" w:eastAsia="zh-CN"/>
              </w:rPr>
              <w:t>。废布袋由厂家回收处置，产生的不合格粮食外售给周边农户</w:t>
            </w:r>
            <w:r>
              <w:rPr>
                <w:rFonts w:hint="eastAsia" w:cs="Times New Roman"/>
                <w:color w:val="auto"/>
                <w:kern w:val="0"/>
                <w:sz w:val="24"/>
                <w:szCs w:val="24"/>
                <w:lang w:val="en-US" w:eastAsia="zh-CN"/>
              </w:rPr>
              <w:t>，</w:t>
            </w:r>
            <w:r>
              <w:rPr>
                <w:rFonts w:hint="default" w:ascii="Times New Roman" w:hAnsi="Times New Roman" w:cs="Times New Roman"/>
                <w:color w:val="auto"/>
                <w:kern w:val="0"/>
                <w:sz w:val="24"/>
                <w:szCs w:val="24"/>
                <w:lang w:val="en-US" w:eastAsia="zh-CN"/>
              </w:rPr>
              <w:t>固废处置率100%</w:t>
            </w:r>
            <w:r>
              <w:rPr>
                <w:rFonts w:hint="eastAsia" w:cs="Times New Roman"/>
                <w:color w:val="auto"/>
                <w:kern w:val="0"/>
                <w:sz w:val="24"/>
                <w:szCs w:val="24"/>
                <w:lang w:val="en-US" w:eastAsia="zh-CN"/>
              </w:rPr>
              <w:t>。</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default" w:ascii="Times New Roman" w:hAnsi="Times New Roman" w:cs="Times New Roman"/>
                <w:color w:val="auto"/>
                <w:kern w:val="0"/>
                <w:sz w:val="24"/>
                <w:szCs w:val="24"/>
                <w:lang w:val="en-US" w:eastAsia="zh-CN"/>
              </w:rPr>
            </w:pPr>
            <w:r>
              <w:rPr>
                <w:rFonts w:hint="eastAsia" w:ascii="Times New Roman" w:hAnsi="Times New Roman" w:cs="Times New Roman"/>
                <w:color w:val="auto"/>
                <w:kern w:val="0"/>
                <w:sz w:val="24"/>
                <w:szCs w:val="24"/>
                <w:lang w:val="en-US" w:eastAsia="zh-CN"/>
              </w:rPr>
              <w:t>3、现有工程污染物实际排放总量</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eastAsia" w:hAnsi="Times New Roman" w:cs="Times New Roman"/>
                <w:i w:val="0"/>
                <w:sz w:val="24"/>
                <w:lang w:eastAsia="zh-CN"/>
              </w:rPr>
            </w:pPr>
            <w:r>
              <w:rPr>
                <w:rFonts w:hint="default" w:ascii="Times New Roman" w:hAnsi="Times New Roman" w:cs="Times New Roman"/>
                <w:color w:val="auto"/>
                <w:kern w:val="0"/>
                <w:sz w:val="24"/>
                <w:szCs w:val="24"/>
                <w:lang w:val="en-US" w:eastAsia="zh-CN"/>
              </w:rPr>
              <w:t>根据《排污许可证申请与核发技术规范 工业炉窑》（HJ1121—2020）中实际排放量计算公式为</w:t>
            </w:r>
            <m:oMath>
              <m:sSub>
                <m:sSubPr>
                  <m:ctrlPr>
                    <w:rPr>
                      <w:rFonts w:hint="default" w:ascii="Cambria Math" w:hAnsi="Cambria Math" w:cs="Times New Roman"/>
                      <w:sz w:val="24"/>
                    </w:rPr>
                  </m:ctrlPr>
                </m:sSubPr>
                <m:e>
                  <m:r>
                    <m:rPr>
                      <m:nor/>
                    </m:rPr>
                    <w:rPr>
                      <w:rFonts w:hint="default" w:ascii="Times New Roman" w:hAnsi="Times New Roman" w:cs="Times New Roman"/>
                      <w:i/>
                      <w:sz w:val="24"/>
                    </w:rPr>
                    <m:t>M</m:t>
                  </m:r>
                  <m:ctrlPr>
                    <w:rPr>
                      <w:rFonts w:hint="default" w:ascii="Cambria Math" w:hAnsi="Cambria Math" w:cs="Times New Roman"/>
                      <w:sz w:val="24"/>
                    </w:rPr>
                  </m:ctrlPr>
                </m:e>
                <m:sub>
                  <m:r>
                    <m:rPr>
                      <m:nor/>
                    </m:rPr>
                    <w:rPr>
                      <w:rFonts w:hint="default" w:ascii="Times New Roman" w:hAnsi="Times New Roman" w:cs="Times New Roman"/>
                      <w:i/>
                      <w:sz w:val="24"/>
                    </w:rPr>
                    <m:t>j</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nary>
                <m:naryPr>
                  <m:chr m:val="∑"/>
                  <m:limLoc m:val="undOvr"/>
                  <m:ctrlPr>
                    <w:rPr>
                      <w:rFonts w:hint="default" w:ascii="Cambria Math" w:hAnsi="Cambria Math" w:cs="Times New Roman"/>
                      <w:i/>
                      <w:sz w:val="24"/>
                    </w:rPr>
                  </m:ctrlPr>
                </m:naryPr>
                <m:sub>
                  <m:r>
                    <m:rPr>
                      <m:nor/>
                    </m:rPr>
                    <w:rPr>
                      <w:rFonts w:hint="default" w:ascii="Times New Roman" w:hAnsi="Times New Roman" w:cs="Times New Roman"/>
                      <w:i/>
                      <w:sz w:val="24"/>
                    </w:rPr>
                    <m:t>i</m:t>
                  </m:r>
                  <m:r>
                    <m:rPr>
                      <m:nor/>
                      <m:sty m:val="p"/>
                    </m:rPr>
                    <w:rPr>
                      <w:rFonts w:hint="default" w:ascii="Times New Roman" w:hAnsi="Times New Roman" w:cs="Times New Roman"/>
                      <w:b w:val="0"/>
                      <w:i w:val="0"/>
                      <w:sz w:val="24"/>
                    </w:rPr>
                    <m:t>=1</m:t>
                  </m:r>
                  <m:ctrlPr>
                    <w:rPr>
                      <w:rFonts w:hint="default" w:ascii="Cambria Math" w:hAnsi="Cambria Math" w:cs="Times New Roman"/>
                      <w:sz w:val="24"/>
                    </w:rPr>
                  </m:ctrlPr>
                </m:sub>
                <m:sup>
                  <m:r>
                    <m:rPr>
                      <m:nor/>
                    </m:rPr>
                    <w:rPr>
                      <w:rFonts w:hint="default" w:ascii="Times New Roman" w:hAnsi="Times New Roman" w:cs="Times New Roman"/>
                      <w:i/>
                      <w:sz w:val="24"/>
                    </w:rPr>
                    <m:t>n</m:t>
                  </m:r>
                  <m:ctrlPr>
                    <w:rPr>
                      <w:rFonts w:hint="default" w:ascii="Cambria Math" w:hAnsi="Cambria Math" w:cs="Times New Roman"/>
                      <w:sz w:val="24"/>
                    </w:rPr>
                  </m:ctrlPr>
                </m:sup>
                <m:e>
                  <m:r>
                    <m:rPr>
                      <m:nor/>
                      <m:sty m:val="p"/>
                    </m:rPr>
                    <w:rPr>
                      <w:rFonts w:hint="default" w:ascii="Times New Roman" w:hAnsi="Times New Roman" w:cs="Times New Roman"/>
                      <w:b w:val="0"/>
                      <w:i w:val="0"/>
                      <w:sz w:val="24"/>
                    </w:rPr>
                    <m:t>(</m:t>
                  </m:r>
                  <m:ctrlPr>
                    <w:rPr>
                      <w:rFonts w:hint="default" w:ascii="Cambria Math" w:hAnsi="Cambria Math" w:cs="Times New Roman"/>
                      <w:sz w:val="24"/>
                    </w:rPr>
                  </m:ctrlPr>
                </m:e>
              </m:nary>
              <m:sSub>
                <m:sSubPr>
                  <m:ctrlPr>
                    <w:rPr>
                      <w:rFonts w:hint="default" w:ascii="Cambria Math" w:hAnsi="Cambria Math" w:cs="Times New Roman"/>
                      <w:sz w:val="24"/>
                    </w:rPr>
                  </m:ctrlPr>
                </m:sSubPr>
                <m:e>
                  <m:r>
                    <m:rPr>
                      <m:nor/>
                    </m:rPr>
                    <w:rPr>
                      <w:rFonts w:hint="default" w:ascii="Times New Roman" w:hAnsi="Times New Roman" w:cs="Times New Roman"/>
                      <w:i/>
                      <w:sz w:val="24"/>
                    </w:rPr>
                    <m:t>c</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sSub>
                <m:sSubPr>
                  <m:ctrlPr>
                    <w:rPr>
                      <w:rFonts w:hint="default" w:ascii="Cambria Math" w:hAnsi="Cambria Math" w:cs="Times New Roman"/>
                      <w:sz w:val="24"/>
                    </w:rPr>
                  </m:ctrlPr>
                </m:sSubPr>
                <m:e>
                  <m:r>
                    <m:rPr>
                      <m:nor/>
                    </m:rPr>
                    <w:rPr>
                      <w:rFonts w:hint="default" w:ascii="Times New Roman" w:hAnsi="Times New Roman" w:cs="Times New Roman"/>
                      <w:i/>
                      <w:sz w:val="24"/>
                    </w:rPr>
                    <m:t>q</m:t>
                  </m:r>
                  <m:ctrlPr>
                    <w:rPr>
                      <w:rFonts w:hint="default" w:ascii="Cambria Math" w:hAnsi="Cambria Math" w:cs="Times New Roman"/>
                      <w:sz w:val="24"/>
                    </w:rPr>
                  </m:ctrlPr>
                </m:e>
                <m:sub>
                  <m:r>
                    <m:rPr>
                      <m:nor/>
                    </m:rPr>
                    <w:rPr>
                      <w:rFonts w:hint="default" w:ascii="Times New Roman" w:hAnsi="Times New Roman" w:cs="Times New Roman"/>
                      <w:i/>
                      <w:sz w:val="24"/>
                    </w:rPr>
                    <m:t>i</m:t>
                  </m:r>
                  <m:ctrlPr>
                    <w:rPr>
                      <w:rFonts w:hint="default" w:ascii="Cambria Math" w:hAnsi="Cambria Math" w:cs="Times New Roman"/>
                      <w:sz w:val="24"/>
                    </w:rPr>
                  </m:ctrlPr>
                </m:sub>
              </m:sSub>
              <m:r>
                <m:rPr>
                  <m:nor/>
                  <m:sty m:val="p"/>
                </m:rPr>
                <w:rPr>
                  <w:rFonts w:hint="default" w:ascii="Times New Roman" w:hAnsi="Times New Roman" w:cs="Times New Roman"/>
                  <w:b w:val="0"/>
                  <w:i w:val="0"/>
                  <w:sz w:val="24"/>
                </w:rPr>
                <m:t>×</m:t>
              </m:r>
              <m:r>
                <m:rPr>
                  <m:nor/>
                </m:rPr>
                <w:rPr>
                  <w:rFonts w:hint="default" w:ascii="Times New Roman" w:hAnsi="Times New Roman" w:cs="Times New Roman"/>
                  <w:i/>
                  <w:sz w:val="24"/>
                </w:rPr>
                <m:t>T</m:t>
              </m:r>
              <m:r>
                <m:rPr>
                  <m:nor/>
                  <m:sty m:val="p"/>
                </m:rPr>
                <w:rPr>
                  <w:rFonts w:hint="default" w:ascii="Times New Roman" w:hAnsi="Times New Roman" w:cs="Times New Roman"/>
                  <w:b w:val="0"/>
                  <w:i w:val="0"/>
                  <w:sz w:val="24"/>
                </w:rPr>
                <m:t>×1</m:t>
              </m:r>
              <m:sSup>
                <m:sSupPr>
                  <m:ctrlPr>
                    <w:rPr>
                      <w:rFonts w:hint="default" w:ascii="Cambria Math" w:hAnsi="Cambria Math" w:cs="Times New Roman"/>
                      <w:sz w:val="24"/>
                    </w:rPr>
                  </m:ctrlPr>
                </m:sSupPr>
                <m:e>
                  <m:r>
                    <m:rPr>
                      <m:nor/>
                      <m:sty m:val="p"/>
                    </m:rPr>
                    <w:rPr>
                      <w:rFonts w:hint="default" w:ascii="Times New Roman" w:hAnsi="Times New Roman" w:cs="Times New Roman"/>
                      <w:b w:val="0"/>
                      <w:i w:val="0"/>
                      <w:sz w:val="24"/>
                    </w:rPr>
                    <m:t>0</m:t>
                  </m:r>
                  <m:ctrlPr>
                    <w:rPr>
                      <w:rFonts w:hint="default" w:ascii="Cambria Math" w:hAnsi="Cambria Math" w:cs="Times New Roman"/>
                      <w:sz w:val="24"/>
                    </w:rPr>
                  </m:ctrlPr>
                </m:e>
                <m:sup>
                  <m:r>
                    <m:rPr>
                      <m:nor/>
                      <m:sty m:val="p"/>
                    </m:rPr>
                    <w:rPr>
                      <w:rFonts w:hint="default" w:ascii="Times New Roman" w:hAnsi="Times New Roman" w:cs="Times New Roman"/>
                      <w:b w:val="0"/>
                      <w:i w:val="0"/>
                      <w:sz w:val="24"/>
                    </w:rPr>
                    <m:t>−9</m:t>
                  </m:r>
                  <m:ctrlPr>
                    <w:rPr>
                      <w:rFonts w:hint="default" w:ascii="Cambria Math" w:hAnsi="Cambria Math" w:cs="Times New Roman"/>
                      <w:sz w:val="24"/>
                    </w:rPr>
                  </m:ctrlPr>
                </m:sup>
              </m:sSup>
              <m:r>
                <m:rPr>
                  <m:nor/>
                  <m:sty m:val="p"/>
                </m:rPr>
                <w:rPr>
                  <w:rFonts w:hint="default" w:ascii="Times New Roman" w:hAnsi="Times New Roman" w:cs="Times New Roman"/>
                  <w:b w:val="0"/>
                  <w:i w:val="0"/>
                  <w:sz w:val="24"/>
                </w:rPr>
                <m:t>)</m:t>
              </m:r>
            </m:oMath>
            <w:r>
              <w:rPr>
                <w:rFonts w:hint="eastAsia" w:hAnsi="Times New Roman" w:cs="Times New Roman"/>
                <w:i w:val="0"/>
                <w:sz w:val="24"/>
                <w:lang w:eastAsia="zh-CN"/>
              </w:rPr>
              <w:t>。</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default" w:hAnsi="Times New Roman" w:cs="Times New Roman"/>
                <w:i w:val="0"/>
                <w:sz w:val="24"/>
                <w:lang w:val="en-US" w:eastAsia="zh-CN"/>
              </w:rPr>
            </w:pPr>
            <w:r>
              <w:rPr>
                <w:rFonts w:hint="eastAsia" w:hAnsi="Times New Roman" w:cs="Times New Roman"/>
                <w:i w:val="0"/>
                <w:sz w:val="24"/>
                <w:lang w:val="en-US" w:eastAsia="zh-CN"/>
              </w:rPr>
              <w:t>本项目有组织废气中颗粒物实际排放量=0.0</w:t>
            </w:r>
            <w:r>
              <w:rPr>
                <w:rFonts w:hint="eastAsia" w:cs="Times New Roman"/>
                <w:i w:val="0"/>
                <w:sz w:val="24"/>
                <w:lang w:val="en-US" w:eastAsia="zh-CN"/>
              </w:rPr>
              <w:t>45</w:t>
            </w:r>
            <w:r>
              <w:rPr>
                <w:rFonts w:hint="eastAsia" w:hAnsi="Times New Roman" w:cs="Times New Roman"/>
                <w:i w:val="0"/>
                <w:sz w:val="24"/>
                <w:lang w:val="en-US" w:eastAsia="zh-CN"/>
              </w:rPr>
              <w:t>t/a；二氧化硫实际排放量=0.</w:t>
            </w:r>
            <w:r>
              <w:rPr>
                <w:rFonts w:hint="eastAsia" w:cs="Times New Roman"/>
                <w:i w:val="0"/>
                <w:sz w:val="24"/>
                <w:lang w:val="en-US" w:eastAsia="zh-CN"/>
              </w:rPr>
              <w:t>048</w:t>
            </w:r>
            <w:r>
              <w:rPr>
                <w:rFonts w:hint="eastAsia" w:hAnsi="Times New Roman" w:cs="Times New Roman"/>
                <w:i w:val="0"/>
                <w:sz w:val="24"/>
                <w:lang w:val="en-US" w:eastAsia="zh-CN"/>
              </w:rPr>
              <w:t>t/a；氮氧化物实际排放量=0.</w:t>
            </w:r>
            <w:r>
              <w:rPr>
                <w:rFonts w:hint="eastAsia" w:cs="Times New Roman"/>
                <w:i w:val="0"/>
                <w:sz w:val="24"/>
                <w:lang w:val="en-US" w:eastAsia="zh-CN"/>
              </w:rPr>
              <w:t>303</w:t>
            </w:r>
            <w:r>
              <w:rPr>
                <w:rFonts w:hint="eastAsia" w:hAnsi="Times New Roman" w:cs="Times New Roman"/>
                <w:i w:val="0"/>
                <w:sz w:val="24"/>
                <w:lang w:val="en-US" w:eastAsia="zh-CN"/>
              </w:rPr>
              <w:t>t/a。</w:t>
            </w:r>
          </w:p>
          <w:p>
            <w:pPr>
              <w:keepNext w:val="0"/>
              <w:keepLines w:val="0"/>
              <w:pageBreakBefore w:val="0"/>
              <w:widowControl w:val="0"/>
              <w:numPr>
                <w:ilvl w:val="0"/>
                <w:numId w:val="4"/>
              </w:numPr>
              <w:kinsoku/>
              <w:wordWrap/>
              <w:overflowPunct/>
              <w:topLinePunct w:val="0"/>
              <w:bidi w:val="0"/>
              <w:spacing w:line="360" w:lineRule="auto"/>
              <w:ind w:firstLine="480" w:firstLineChars="200"/>
              <w:textAlignment w:val="auto"/>
              <w:rPr>
                <w:rFonts w:hint="eastAsia" w:hAnsi="Times New Roman" w:cs="Times New Roman"/>
                <w:i w:val="0"/>
                <w:sz w:val="24"/>
                <w:lang w:val="en-US" w:eastAsia="zh-CN"/>
              </w:rPr>
            </w:pPr>
            <w:r>
              <w:rPr>
                <w:rFonts w:hint="eastAsia" w:hAnsi="Times New Roman" w:cs="Times New Roman"/>
                <w:i w:val="0"/>
                <w:sz w:val="24"/>
                <w:lang w:val="en-US" w:eastAsia="zh-CN"/>
              </w:rPr>
              <w:t>原有环境问题识别</w:t>
            </w:r>
          </w:p>
          <w:p>
            <w:pPr>
              <w:keepNext w:val="0"/>
              <w:keepLines w:val="0"/>
              <w:pageBreakBefore w:val="0"/>
              <w:widowControl w:val="0"/>
              <w:numPr>
                <w:ilvl w:val="0"/>
                <w:numId w:val="0"/>
              </w:numPr>
              <w:kinsoku/>
              <w:wordWrap/>
              <w:overflowPunct/>
              <w:topLinePunct w:val="0"/>
              <w:bidi w:val="0"/>
              <w:spacing w:line="360" w:lineRule="auto"/>
              <w:textAlignment w:val="auto"/>
              <w:rPr>
                <w:rFonts w:hint="default" w:hAnsi="Times New Roman" w:cs="Times New Roman"/>
                <w:i w:val="0"/>
                <w:sz w:val="24"/>
                <w:lang w:val="en-US" w:eastAsia="zh-CN"/>
              </w:rPr>
            </w:pPr>
            <w:r>
              <w:rPr>
                <w:rFonts w:hint="eastAsia" w:hAnsi="Times New Roman" w:cs="Times New Roman"/>
                <w:i w:val="0"/>
                <w:sz w:val="24"/>
                <w:lang w:val="en-US" w:eastAsia="zh-CN"/>
              </w:rPr>
              <w:t xml:space="preserve">    本项目各项污染物排放浓度满足相关标准要求，</w:t>
            </w:r>
            <w:r>
              <w:rPr>
                <w:rFonts w:hint="default" w:ascii="Times New Roman" w:hAnsi="Times New Roman" w:eastAsia="宋体" w:cs="Times New Roman"/>
                <w:color w:val="auto"/>
                <w:sz w:val="24"/>
                <w:highlight w:val="none"/>
              </w:rPr>
              <w:t>企业已经填报排污许可证，并按时完成排污许可证年报和例行监测填报</w:t>
            </w:r>
            <w:r>
              <w:rPr>
                <w:rFonts w:hint="eastAsia" w:cs="Times New Roman"/>
                <w:color w:val="auto"/>
                <w:sz w:val="24"/>
                <w:highlight w:val="none"/>
                <w:lang w:eastAsia="zh-CN"/>
              </w:rPr>
              <w:t>，</w:t>
            </w:r>
            <w:r>
              <w:rPr>
                <w:rFonts w:hint="eastAsia" w:cs="Times New Roman"/>
                <w:color w:val="auto"/>
                <w:sz w:val="24"/>
                <w:highlight w:val="none"/>
                <w:lang w:val="en-US" w:eastAsia="zh-CN"/>
              </w:rPr>
              <w:t>无环境问题</w:t>
            </w:r>
            <w:r>
              <w:rPr>
                <w:rFonts w:hint="default" w:ascii="Times New Roman" w:hAnsi="Times New Roman" w:eastAsia="宋体" w:cs="Times New Roman"/>
                <w:color w:val="auto"/>
                <w:sz w:val="24"/>
                <w:highlight w:val="none"/>
                <w:lang w:val="en-US" w:eastAsia="zh-CN"/>
              </w:rPr>
              <w:t>。</w:t>
            </w:r>
          </w:p>
          <w:p>
            <w:pPr>
              <w:keepNext w:val="0"/>
              <w:keepLines w:val="0"/>
              <w:pageBreakBefore w:val="0"/>
              <w:widowControl w:val="0"/>
              <w:numPr>
                <w:ilvl w:val="0"/>
                <w:numId w:val="4"/>
              </w:numPr>
              <w:kinsoku/>
              <w:wordWrap/>
              <w:overflowPunct/>
              <w:topLinePunct w:val="0"/>
              <w:bidi w:val="0"/>
              <w:spacing w:line="360" w:lineRule="auto"/>
              <w:ind w:left="0" w:leftChars="0" w:firstLine="480" w:firstLineChars="200"/>
              <w:textAlignment w:val="auto"/>
              <w:rPr>
                <w:rFonts w:hint="default" w:hAnsi="Times New Roman" w:cs="Times New Roman"/>
                <w:i w:val="0"/>
                <w:sz w:val="24"/>
                <w:lang w:val="en-US" w:eastAsia="zh-CN"/>
              </w:rPr>
            </w:pPr>
            <w:r>
              <w:rPr>
                <w:rFonts w:hint="eastAsia" w:cs="Times New Roman"/>
                <w:color w:val="auto"/>
                <w:kern w:val="2"/>
                <w:sz w:val="24"/>
                <w:szCs w:val="24"/>
                <w:highlight w:val="none"/>
                <w:lang w:val="en-US" w:eastAsia="zh-CN" w:bidi="ar-SA"/>
              </w:rPr>
              <w:t>以新带老措施</w:t>
            </w:r>
          </w:p>
          <w:p>
            <w:pPr>
              <w:keepNext w:val="0"/>
              <w:keepLines w:val="0"/>
              <w:pageBreakBefore w:val="0"/>
              <w:widowControl w:val="0"/>
              <w:numPr>
                <w:ilvl w:val="0"/>
                <w:numId w:val="0"/>
              </w:numPr>
              <w:kinsoku/>
              <w:wordWrap/>
              <w:overflowPunct/>
              <w:topLinePunct w:val="0"/>
              <w:bidi w:val="0"/>
              <w:spacing w:line="360" w:lineRule="auto"/>
              <w:ind w:firstLine="480" w:firstLineChars="200"/>
              <w:textAlignment w:val="auto"/>
              <w:rPr>
                <w:rFonts w:hint="default" w:hAnsi="Times New Roman" w:cs="Times New Roman"/>
                <w:i w:val="0"/>
                <w:sz w:val="24"/>
                <w:lang w:val="en-US" w:eastAsia="zh-CN"/>
              </w:rPr>
            </w:pPr>
            <w:r>
              <w:rPr>
                <w:rFonts w:hint="eastAsia" w:ascii="Times New Roman" w:hAnsi="Times New Roman" w:eastAsia="宋体" w:cs="Times New Roman"/>
                <w:color w:val="auto"/>
                <w:sz w:val="24"/>
                <w:szCs w:val="24"/>
                <w:highlight w:val="none"/>
                <w:lang w:val="en-US" w:eastAsia="zh-CN"/>
              </w:rPr>
              <w:t>拆除原有一台</w:t>
            </w:r>
            <w:r>
              <w:rPr>
                <w:rFonts w:hint="eastAsia"/>
                <w:color w:val="auto"/>
                <w:sz w:val="24"/>
                <w:lang w:val="en-US" w:eastAsia="zh-CN"/>
              </w:rPr>
              <w:t>360万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燃生物质热风炉</w:t>
            </w:r>
            <w:r>
              <w:rPr>
                <w:rFonts w:hint="eastAsia" w:ascii="Times New Roman" w:hAnsi="Times New Roman" w:eastAsia="宋体" w:cs="Times New Roman"/>
                <w:color w:val="auto"/>
                <w:sz w:val="24"/>
                <w:szCs w:val="24"/>
                <w:highlight w:val="none"/>
                <w:lang w:val="en-US" w:eastAsia="zh-CN"/>
              </w:rPr>
              <w:t>和300t/d烘干塔，新建</w:t>
            </w:r>
            <w:r>
              <w:rPr>
                <w:rFonts w:hint="default" w:ascii="Times New Roman" w:hAnsi="Times New Roman" w:eastAsia="宋体" w:cs="Times New Roman"/>
                <w:color w:val="auto"/>
                <w:sz w:val="24"/>
                <w:szCs w:val="24"/>
                <w:highlight w:val="none"/>
                <w:lang w:val="en-US" w:eastAsia="zh-CN"/>
              </w:rPr>
              <w:t>一台</w:t>
            </w:r>
            <w:r>
              <w:rPr>
                <w:rFonts w:hint="eastAsia"/>
                <w:color w:val="auto"/>
                <w:sz w:val="24"/>
                <w:lang w:val="en-US" w:eastAsia="zh-CN"/>
              </w:rPr>
              <w:t>600万</w:t>
            </w:r>
            <w:r>
              <w:rPr>
                <w:rFonts w:hint="default" w:ascii="Times New Roman" w:hAnsi="Times New Roman" w:eastAsia="宋体" w:cs="Times New Roman"/>
                <w:color w:val="auto"/>
                <w:sz w:val="24"/>
                <w:szCs w:val="24"/>
                <w:lang w:val="en-US" w:eastAsia="zh-CN"/>
              </w:rPr>
              <w:t>kcal/h</w:t>
            </w:r>
            <w:r>
              <w:rPr>
                <w:rFonts w:hint="default" w:ascii="Times New Roman" w:hAnsi="Times New Roman" w:eastAsia="宋体" w:cs="Times New Roman"/>
                <w:color w:val="auto"/>
                <w:sz w:val="24"/>
                <w:szCs w:val="24"/>
                <w:highlight w:val="none"/>
                <w:lang w:val="en-US" w:eastAsia="zh-CN"/>
              </w:rPr>
              <w:t>的燃生物质热风炉，配备一座烘干能力为</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00t/d的烘干塔</w:t>
            </w:r>
            <w:r>
              <w:rPr>
                <w:rFonts w:hint="eastAsia" w:cs="Times New Roman"/>
                <w:color w:val="auto"/>
                <w:sz w:val="24"/>
                <w:szCs w:val="24"/>
                <w:highlight w:val="none"/>
                <w:lang w:val="en-US" w:eastAsia="zh-CN"/>
              </w:rPr>
              <w:t>及相关配套设施</w:t>
            </w:r>
            <w:r>
              <w:rPr>
                <w:rFonts w:hint="eastAsia"/>
                <w:color w:val="auto"/>
                <w:sz w:val="24"/>
                <w:lang w:val="en-US" w:eastAsia="zh-CN"/>
              </w:rPr>
              <w:t>。</w:t>
            </w:r>
            <w:r>
              <w:rPr>
                <w:rFonts w:hint="eastAsia" w:cs="Times New Roman"/>
                <w:color w:val="auto"/>
                <w:kern w:val="2"/>
                <w:sz w:val="24"/>
                <w:szCs w:val="24"/>
                <w:highlight w:val="none"/>
                <w:lang w:val="en-US" w:eastAsia="zh-CN" w:bidi="ar-SA"/>
              </w:rPr>
              <w:t>本项目建成后依法办理排污许可证，持证排污，取得排污许可证后方可调试运行，进行建设项目环保竣工验收。</w:t>
            </w:r>
          </w:p>
        </w:tc>
      </w:tr>
    </w:tbl>
    <w:p>
      <w:pPr>
        <w:pStyle w:val="25"/>
        <w:jc w:val="center"/>
        <w:rPr>
          <w:rFonts w:hint="default" w:ascii="Times New Roman" w:hAnsi="Times New Roman" w:eastAsia="黑体" w:cs="Times New Roman"/>
          <w:snapToGrid w:val="0"/>
          <w:color w:val="auto"/>
          <w:sz w:val="36"/>
          <w:szCs w:val="36"/>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17" w:name="_Toc3027"/>
      <w:bookmarkStart w:id="18" w:name="_Toc21604"/>
      <w:r>
        <w:rPr>
          <w:rFonts w:hint="default" w:ascii="Times New Roman" w:hAnsi="Times New Roman" w:eastAsia="黑体" w:cs="Times New Roman"/>
          <w:snapToGrid w:val="0"/>
          <w:color w:val="auto"/>
          <w:sz w:val="30"/>
          <w:szCs w:val="30"/>
        </w:rPr>
        <w:t>三、区域环境质量现状、环境保护目标及评价标准</w:t>
      </w:r>
      <w:bookmarkEnd w:id="17"/>
      <w:bookmarkEnd w:id="18"/>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04"/>
        <w:gridCol w:w="88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605"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区域</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质量</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现状</w:t>
            </w:r>
          </w:p>
        </w:tc>
        <w:tc>
          <w:tcPr>
            <w:tcW w:w="8834"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1、环境空气质量现状</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 xml:space="preserve">（1）基本污染物 </w:t>
            </w:r>
          </w:p>
          <w:p>
            <w:pPr>
              <w:keepNext w:val="0"/>
              <w:keepLines w:val="0"/>
              <w:suppressLineNumbers w:val="0"/>
              <w:spacing w:before="0" w:beforeAutospacing="0" w:after="0" w:afterAutospacing="0" w:line="360" w:lineRule="auto"/>
              <w:ind w:left="0" w:right="0" w:firstLine="48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本项目所在地属伊春市，</w:t>
            </w:r>
            <w:r>
              <w:rPr>
                <w:rFonts w:hint="default" w:ascii="Times New Roman" w:hAnsi="Times New Roman" w:eastAsia="宋体" w:cs="Times New Roman"/>
                <w:color w:val="auto"/>
                <w:kern w:val="0"/>
                <w:sz w:val="24"/>
                <w:szCs w:val="24"/>
                <w:highlight w:val="none"/>
                <w:u w:val="none" w:color="000000"/>
                <w:lang w:val="en-US" w:eastAsia="zh-CN" w:bidi="ar-SA"/>
              </w:rPr>
              <w:t>根据《202</w:t>
            </w:r>
            <w:r>
              <w:rPr>
                <w:rFonts w:hint="eastAsia"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w:t>
            </w:r>
            <w:r>
              <w:rPr>
                <w:rFonts w:hint="eastAsia" w:cs="Times New Roman"/>
                <w:color w:val="auto"/>
                <w:kern w:val="0"/>
                <w:sz w:val="24"/>
                <w:szCs w:val="24"/>
                <w:highlight w:val="none"/>
                <w:u w:val="none" w:color="000000"/>
                <w:lang w:val="en-US" w:eastAsia="zh-CN" w:bidi="ar-SA"/>
              </w:rPr>
              <w:t>黑龙江省</w:t>
            </w:r>
            <w:r>
              <w:rPr>
                <w:rFonts w:hint="default" w:ascii="Times New Roman" w:hAnsi="Times New Roman" w:eastAsia="宋体" w:cs="Times New Roman"/>
                <w:color w:val="auto"/>
                <w:kern w:val="0"/>
                <w:sz w:val="24"/>
                <w:szCs w:val="24"/>
                <w:highlight w:val="none"/>
                <w:u w:val="none" w:color="000000"/>
                <w:lang w:val="en-US" w:eastAsia="zh-CN" w:bidi="ar-SA"/>
              </w:rPr>
              <w:t>生态环境质量</w:t>
            </w:r>
            <w:r>
              <w:rPr>
                <w:rFonts w:hint="eastAsia" w:cs="Times New Roman"/>
                <w:color w:val="auto"/>
                <w:kern w:val="0"/>
                <w:sz w:val="24"/>
                <w:szCs w:val="24"/>
                <w:highlight w:val="none"/>
                <w:u w:val="none" w:color="000000"/>
                <w:lang w:val="en-US" w:eastAsia="zh-CN" w:bidi="ar-SA"/>
              </w:rPr>
              <w:t>状况</w:t>
            </w:r>
            <w:r>
              <w:rPr>
                <w:rFonts w:hint="default" w:ascii="Times New Roman" w:hAnsi="Times New Roman" w:eastAsia="宋体" w:cs="Times New Roman"/>
                <w:color w:val="auto"/>
                <w:kern w:val="0"/>
                <w:sz w:val="24"/>
                <w:szCs w:val="24"/>
                <w:highlight w:val="none"/>
                <w:u w:val="none" w:color="000000"/>
                <w:lang w:val="en-US" w:eastAsia="zh-CN" w:bidi="ar-SA"/>
              </w:rPr>
              <w:t>》</w:t>
            </w:r>
            <w:r>
              <w:rPr>
                <w:rFonts w:hint="default" w:ascii="Times New Roman" w:hAnsi="Times New Roman" w:cs="Times New Roman"/>
                <w:color w:val="auto"/>
                <w:sz w:val="24"/>
                <w:szCs w:val="24"/>
              </w:rPr>
              <w:t>，202</w:t>
            </w:r>
            <w:r>
              <w:rPr>
                <w:rFonts w:hint="eastAsia" w:cs="Times New Roman"/>
                <w:color w:val="auto"/>
                <w:sz w:val="24"/>
                <w:szCs w:val="24"/>
                <w:lang w:val="en-US" w:eastAsia="zh-CN"/>
              </w:rPr>
              <w:t>5</w:t>
            </w:r>
            <w:r>
              <w:rPr>
                <w:rFonts w:hint="default" w:ascii="Times New Roman" w:hAnsi="Times New Roman" w:cs="Times New Roman"/>
                <w:color w:val="auto"/>
                <w:sz w:val="24"/>
                <w:szCs w:val="24"/>
              </w:rPr>
              <w:t>年，全市环境空气质量达标，二氧化硫、二氧化氮年均值、可吸入颗粒物PM</w:t>
            </w:r>
            <w:r>
              <w:rPr>
                <w:rFonts w:hint="default" w:ascii="Times New Roman" w:hAnsi="Times New Roman" w:cs="Times New Roman"/>
                <w:color w:val="auto"/>
                <w:sz w:val="24"/>
                <w:szCs w:val="24"/>
                <w:vertAlign w:val="subscript"/>
              </w:rPr>
              <w:t>10</w:t>
            </w:r>
            <w:r>
              <w:rPr>
                <w:rFonts w:hint="default" w:ascii="Times New Roman" w:hAnsi="Times New Roman" w:cs="Times New Roman"/>
                <w:color w:val="auto"/>
                <w:sz w:val="24"/>
                <w:szCs w:val="24"/>
              </w:rPr>
              <w:t>、细颗粒物 PM</w:t>
            </w:r>
            <w:r>
              <w:rPr>
                <w:rFonts w:hint="default" w:ascii="Times New Roman" w:hAnsi="Times New Roman" w:cs="Times New Roman"/>
                <w:color w:val="auto"/>
                <w:sz w:val="24"/>
                <w:szCs w:val="24"/>
                <w:vertAlign w:val="subscript"/>
              </w:rPr>
              <w:t>2.5</w:t>
            </w:r>
            <w:r>
              <w:rPr>
                <w:rFonts w:hint="default" w:ascii="Times New Roman" w:hAnsi="Times New Roman" w:cs="Times New Roman"/>
                <w:color w:val="auto"/>
                <w:sz w:val="24"/>
                <w:szCs w:val="24"/>
              </w:rPr>
              <w:t>、一氧化碳24小时平均第95百分位数和臭氧日最大8小时滑动平均值的第90百分位数共6项污染物年均值浓度</w:t>
            </w:r>
            <w:r>
              <w:rPr>
                <w:rFonts w:hint="eastAsia" w:cs="Times New Roman"/>
                <w:color w:val="auto"/>
                <w:sz w:val="24"/>
                <w:szCs w:val="24"/>
                <w:lang w:val="en-US" w:eastAsia="zh-CN"/>
              </w:rPr>
              <w:t>满足</w:t>
            </w:r>
            <w:r>
              <w:rPr>
                <w:rFonts w:hint="default" w:ascii="Times New Roman" w:hAnsi="Times New Roman" w:eastAsia="宋体" w:cs="Times New Roman"/>
                <w:color w:val="auto"/>
                <w:sz w:val="24"/>
                <w:highlight w:val="none"/>
                <w:lang w:val="en-US" w:eastAsia="zh-CN"/>
              </w:rPr>
              <w:t>《环境空气质量标准》（GB3095-2026）</w:t>
            </w:r>
            <w:r>
              <w:rPr>
                <w:rFonts w:hint="eastAsia" w:cs="Times New Roman"/>
                <w:color w:val="auto"/>
                <w:sz w:val="24"/>
                <w:highlight w:val="none"/>
                <w:lang w:val="en-US" w:eastAsia="zh-CN"/>
              </w:rPr>
              <w:t>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cs="Times New Roman"/>
                <w:color w:val="auto"/>
                <w:sz w:val="24"/>
                <w:szCs w:val="24"/>
              </w:rPr>
              <w:t>。本项目所在区域属于达标区。</w:t>
            </w:r>
          </w:p>
          <w:p>
            <w:pPr>
              <w:keepNext w:val="0"/>
              <w:keepLines w:val="0"/>
              <w:suppressLineNumbers w:val="0"/>
              <w:adjustRightInd w:val="0"/>
              <w:snapToGrid w:val="0"/>
              <w:spacing w:before="0" w:beforeAutospacing="0" w:after="0" w:afterAutospacing="0"/>
              <w:ind w:left="0" w:right="0" w:firstLine="422"/>
              <w:jc w:val="center"/>
              <w:rPr>
                <w:rFonts w:hint="default" w:ascii="Times New Roman" w:hAnsi="Times New Roman" w:cs="Times New Roman"/>
                <w:b/>
                <w:bCs/>
                <w:color w:val="auto"/>
                <w:sz w:val="24"/>
                <w:szCs w:val="24"/>
              </w:rPr>
            </w:pPr>
            <w:r>
              <w:rPr>
                <w:rFonts w:hint="default" w:ascii="Times New Roman" w:hAnsi="Times New Roman" w:cs="Times New Roman"/>
                <w:b/>
                <w:bCs/>
                <w:color w:val="auto"/>
                <w:sz w:val="24"/>
                <w:szCs w:val="24"/>
              </w:rPr>
              <w:t>表3-</w:t>
            </w:r>
            <w:r>
              <w:rPr>
                <w:rFonts w:hint="eastAsia" w:ascii="Times New Roman" w:hAnsi="Times New Roman" w:cs="Times New Roman"/>
                <w:b/>
                <w:bCs/>
                <w:color w:val="auto"/>
                <w:sz w:val="24"/>
                <w:szCs w:val="24"/>
                <w:lang w:val="en-US" w:eastAsia="zh-CN"/>
              </w:rPr>
              <w:t>1</w:t>
            </w:r>
            <w:r>
              <w:rPr>
                <w:rFonts w:hint="default" w:ascii="Times New Roman" w:hAnsi="Times New Roman" w:cs="Times New Roman"/>
                <w:b/>
                <w:bCs/>
                <w:color w:val="auto"/>
                <w:sz w:val="24"/>
                <w:szCs w:val="24"/>
              </w:rPr>
              <w:t xml:space="preserve">  202</w:t>
            </w:r>
            <w:r>
              <w:rPr>
                <w:rFonts w:hint="eastAsia" w:cs="Times New Roman"/>
                <w:b/>
                <w:bCs/>
                <w:color w:val="auto"/>
                <w:sz w:val="24"/>
                <w:szCs w:val="24"/>
                <w:lang w:val="en-US" w:eastAsia="zh-CN"/>
              </w:rPr>
              <w:t>5</w:t>
            </w:r>
            <w:r>
              <w:rPr>
                <w:rFonts w:hint="default" w:ascii="Times New Roman" w:hAnsi="Times New Roman" w:cs="Times New Roman"/>
                <w:b/>
                <w:bCs/>
                <w:color w:val="auto"/>
                <w:sz w:val="24"/>
                <w:szCs w:val="24"/>
              </w:rPr>
              <w:t>年环境空气各项污染物达标情况一览表   单位：μg/m</w:t>
            </w:r>
            <w:r>
              <w:rPr>
                <w:rFonts w:hint="default" w:ascii="Times New Roman" w:hAnsi="Times New Roman" w:cs="Times New Roman"/>
                <w:b/>
                <w:bCs/>
                <w:color w:val="auto"/>
                <w:sz w:val="24"/>
                <w:szCs w:val="24"/>
                <w:vertAlign w:val="superscript"/>
              </w:rPr>
              <w:t>3</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
            <w:tblGrid>
              <w:gridCol w:w="794"/>
              <w:gridCol w:w="3374"/>
              <w:gridCol w:w="1067"/>
              <w:gridCol w:w="1239"/>
              <w:gridCol w:w="1019"/>
              <w:gridCol w:w="11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污染物</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年评价指标</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现状浓度/（μg/m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标准值/（μg/m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占标率/%</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2.5</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24</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30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PM</w:t>
                  </w:r>
                  <w:r>
                    <w:rPr>
                      <w:rFonts w:hint="default" w:ascii="Times New Roman" w:hAnsi="Times New Roman" w:cs="Times New Roman"/>
                      <w:color w:val="auto"/>
                      <w:sz w:val="21"/>
                      <w:szCs w:val="21"/>
                      <w:vertAlign w:val="subscript"/>
                      <w:lang w:bidi="ar"/>
                    </w:rPr>
                    <w:t>10</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bidi="ar"/>
                    </w:rPr>
                    <w:t>3</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53.33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SO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cs="Times New Roman"/>
                      <w:color w:val="auto"/>
                      <w:sz w:val="21"/>
                      <w:szCs w:val="21"/>
                      <w:lang w:val="en-US" w:eastAsia="zh-CN" w:bidi="ar"/>
                    </w:rPr>
                    <w:t>5</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8.33</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NO</w:t>
                  </w:r>
                  <w:r>
                    <w:rPr>
                      <w:rFonts w:hint="default" w:ascii="Times New Roman" w:hAnsi="Times New Roman" w:cs="Times New Roman"/>
                      <w:color w:val="auto"/>
                      <w:sz w:val="21"/>
                      <w:szCs w:val="21"/>
                      <w:vertAlign w:val="subscript"/>
                      <w:lang w:bidi="ar"/>
                    </w:rPr>
                    <w:t>2</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年平均质量浓度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11</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27.5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vertAlign w:val="subscript"/>
                    </w:rPr>
                  </w:pPr>
                  <w:r>
                    <w:rPr>
                      <w:rFonts w:hint="default" w:ascii="Times New Roman" w:hAnsi="Times New Roman" w:cs="Times New Roman"/>
                      <w:color w:val="auto"/>
                      <w:sz w:val="21"/>
                      <w:szCs w:val="21"/>
                      <w:lang w:bidi="ar"/>
                    </w:rPr>
                    <w:t>CO</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第95百分位数日平均浓度（mg/m</w:t>
                  </w:r>
                  <w:r>
                    <w:rPr>
                      <w:rFonts w:hint="default" w:ascii="Times New Roman" w:hAnsi="Times New Roman" w:cs="Times New Roman"/>
                      <w:color w:val="auto"/>
                      <w:sz w:val="21"/>
                      <w:szCs w:val="21"/>
                      <w:vertAlign w:val="superscript"/>
                      <w:lang w:bidi="ar"/>
                    </w:rPr>
                    <w:t>3</w:t>
                  </w:r>
                  <w:r>
                    <w:rPr>
                      <w:rFonts w:hint="default" w:ascii="Times New Roman" w:hAnsi="Times New Roman" w:cs="Times New Roman"/>
                      <w:color w:val="auto"/>
                      <w:sz w:val="21"/>
                      <w:szCs w:val="21"/>
                      <w:lang w:bidi="ar"/>
                    </w:rPr>
                    <w:t>）</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bidi="ar"/>
                    </w:rPr>
                    <w:t>1.0</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4.0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2</w:t>
                  </w:r>
                  <w:r>
                    <w:rPr>
                      <w:rFonts w:hint="eastAsia" w:ascii="Times New Roman" w:hAnsi="Times New Roman" w:cs="Times New Roman"/>
                      <w:color w:val="auto"/>
                      <w:sz w:val="21"/>
                      <w:szCs w:val="21"/>
                      <w:lang w:val="en-US" w:eastAsia="zh-CN" w:bidi="ar"/>
                    </w:rPr>
                    <w:t>5</w:t>
                  </w:r>
                  <w:r>
                    <w:rPr>
                      <w:rFonts w:hint="default" w:ascii="Times New Roman" w:hAnsi="Times New Roman" w:cs="Times New Roman"/>
                      <w:color w:val="auto"/>
                      <w:sz w:val="21"/>
                      <w:szCs w:val="21"/>
                      <w:lang w:bidi="ar"/>
                    </w:rPr>
                    <w:t>.00</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28" w:type="dxa"/>
                  <w:bottom w:w="0" w:type="dxa"/>
                  <w:right w:w="28" w:type="dxa"/>
                </w:tblCellMar>
              </w:tblPrEx>
              <w:trPr>
                <w:cantSplit/>
              </w:trPr>
              <w:tc>
                <w:tcPr>
                  <w:tcW w:w="79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O</w:t>
                  </w:r>
                  <w:r>
                    <w:rPr>
                      <w:rFonts w:hint="default" w:ascii="Times New Roman" w:hAnsi="Times New Roman" w:cs="Times New Roman"/>
                      <w:color w:val="auto"/>
                      <w:sz w:val="21"/>
                      <w:szCs w:val="21"/>
                      <w:vertAlign w:val="subscript"/>
                      <w:lang w:bidi="ar"/>
                    </w:rPr>
                    <w:t>3</w:t>
                  </w:r>
                </w:p>
              </w:tc>
              <w:tc>
                <w:tcPr>
                  <w:tcW w:w="3374"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第90百分位数8h平均质量浓度</w:t>
                  </w:r>
                </w:p>
              </w:tc>
              <w:tc>
                <w:tcPr>
                  <w:tcW w:w="1067"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bidi="ar"/>
                    </w:rPr>
                    <w:t>10</w:t>
                  </w:r>
                  <w:r>
                    <w:rPr>
                      <w:rFonts w:hint="eastAsia" w:ascii="Times New Roman" w:hAnsi="Times New Roman" w:cs="Times New Roman"/>
                      <w:color w:val="auto"/>
                      <w:sz w:val="21"/>
                      <w:szCs w:val="21"/>
                      <w:lang w:val="en-US" w:eastAsia="zh-CN" w:bidi="ar"/>
                    </w:rPr>
                    <w:t>2</w:t>
                  </w:r>
                </w:p>
              </w:tc>
              <w:tc>
                <w:tcPr>
                  <w:tcW w:w="123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160</w:t>
                  </w:r>
                </w:p>
              </w:tc>
              <w:tc>
                <w:tcPr>
                  <w:tcW w:w="1019"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cs="Times New Roman"/>
                      <w:color w:val="auto"/>
                      <w:sz w:val="21"/>
                      <w:szCs w:val="21"/>
                      <w:lang w:val="en-US" w:eastAsia="zh-CN"/>
                    </w:rPr>
                    <w:t>63.75</w:t>
                  </w:r>
                </w:p>
              </w:tc>
              <w:tc>
                <w:tcPr>
                  <w:tcW w:w="1122" w:type="dxa"/>
                  <w:noWrap w:val="0"/>
                  <w:vAlign w:val="center"/>
                </w:tcPr>
                <w:p>
                  <w:pPr>
                    <w:pStyle w:val="2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color w:val="auto"/>
                      <w:sz w:val="21"/>
                      <w:szCs w:val="21"/>
                    </w:rPr>
                  </w:pPr>
                  <w:r>
                    <w:rPr>
                      <w:rFonts w:hint="default" w:ascii="Times New Roman" w:hAnsi="Times New Roman" w:cs="Times New Roman"/>
                      <w:color w:val="auto"/>
                      <w:sz w:val="21"/>
                      <w:szCs w:val="21"/>
                      <w:lang w:bidi="ar"/>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18"/>
                <w:szCs w:val="18"/>
              </w:rPr>
              <w:t>注：日均值第X百分位数按照《</w:t>
            </w:r>
            <w:r>
              <w:rPr>
                <w:rFonts w:hint="eastAsia" w:ascii="Times New Roman" w:hAnsi="Times New Roman" w:cs="Times New Roman"/>
                <w:color w:val="auto"/>
                <w:sz w:val="18"/>
                <w:szCs w:val="18"/>
                <w:lang w:eastAsia="zh-CN"/>
              </w:rPr>
              <w:t>环境空气质量评价技术规范</w:t>
            </w:r>
            <w:r>
              <w:rPr>
                <w:rFonts w:hint="default" w:ascii="Times New Roman" w:hAnsi="Times New Roman" w:cs="Times New Roman"/>
                <w:color w:val="auto"/>
                <w:sz w:val="18"/>
                <w:szCs w:val="18"/>
              </w:rPr>
              <w:t>》（</w:t>
            </w:r>
            <w:r>
              <w:rPr>
                <w:rFonts w:hint="eastAsia" w:ascii="Times New Roman" w:hAnsi="Times New Roman" w:cs="Times New Roman"/>
                <w:color w:val="auto"/>
                <w:sz w:val="18"/>
                <w:szCs w:val="18"/>
                <w:lang w:eastAsia="zh-CN"/>
              </w:rPr>
              <w:t>HJ 663-2026</w:t>
            </w:r>
            <w:r>
              <w:rPr>
                <w:rFonts w:hint="default" w:ascii="Times New Roman" w:hAnsi="Times New Roman" w:cs="Times New Roman"/>
                <w:color w:val="auto"/>
                <w:sz w:val="18"/>
                <w:szCs w:val="18"/>
              </w:rPr>
              <w:t>），二氧化氮、二氧化硫X为98，PM</w:t>
            </w:r>
            <w:r>
              <w:rPr>
                <w:rFonts w:hint="default" w:ascii="Times New Roman" w:hAnsi="Times New Roman" w:cs="Times New Roman"/>
                <w:color w:val="auto"/>
                <w:sz w:val="18"/>
                <w:szCs w:val="18"/>
                <w:vertAlign w:val="subscript"/>
              </w:rPr>
              <w:t>2.5</w:t>
            </w:r>
            <w:r>
              <w:rPr>
                <w:rFonts w:hint="default" w:ascii="Times New Roman" w:hAnsi="Times New Roman" w:cs="Times New Roman"/>
                <w:color w:val="auto"/>
                <w:sz w:val="18"/>
                <w:szCs w:val="18"/>
              </w:rPr>
              <w:t>、PM</w:t>
            </w:r>
            <w:r>
              <w:rPr>
                <w:rFonts w:hint="default" w:ascii="Times New Roman" w:hAnsi="Times New Roman" w:cs="Times New Roman"/>
                <w:color w:val="auto"/>
                <w:sz w:val="18"/>
                <w:szCs w:val="18"/>
                <w:vertAlign w:val="subscript"/>
              </w:rPr>
              <w:t>10</w:t>
            </w:r>
            <w:r>
              <w:rPr>
                <w:rFonts w:hint="default" w:ascii="Times New Roman" w:hAnsi="Times New Roman" w:cs="Times New Roman"/>
                <w:color w:val="auto"/>
                <w:sz w:val="18"/>
                <w:szCs w:val="18"/>
              </w:rPr>
              <w:t>、一氧化碳X为95，臭氧日最大8小时平均X为90。</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由表3-1可知，本项目区域属于环境空气质量达标区。</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cs="Times New Roman"/>
                <w:color w:val="auto"/>
                <w:sz w:val="24"/>
                <w:szCs w:val="24"/>
                <w:lang w:val="en-US" w:eastAsia="zh-CN"/>
              </w:rPr>
            </w:pPr>
            <w:r>
              <w:rPr>
                <w:rFonts w:hint="default" w:ascii="Times New Roman" w:hAnsi="Times New Roman" w:cs="Times New Roman"/>
                <w:color w:val="auto"/>
                <w:sz w:val="24"/>
                <w:szCs w:val="24"/>
                <w:lang w:val="en-US" w:eastAsia="zh-CN"/>
              </w:rPr>
              <w:t>（2）其它污染物（TSP）</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highlight w:val="none"/>
                <w:lang w:val="zh-CN"/>
              </w:rPr>
            </w:pPr>
            <w:r>
              <w:rPr>
                <w:rFonts w:hint="eastAsia" w:cs="Times New Roman"/>
                <w:color w:val="auto"/>
                <w:sz w:val="24"/>
                <w:szCs w:val="24"/>
                <w:lang w:val="en-US" w:eastAsia="zh-CN"/>
              </w:rPr>
              <w:t>本次</w:t>
            </w:r>
            <w:r>
              <w:rPr>
                <w:rFonts w:hint="default" w:ascii="Times New Roman" w:hAnsi="Times New Roman" w:cs="Times New Roman"/>
                <w:color w:val="auto"/>
                <w:sz w:val="24"/>
                <w:szCs w:val="24"/>
                <w:lang w:val="en-US" w:eastAsia="zh-CN"/>
              </w:rPr>
              <w:t>评价</w:t>
            </w:r>
            <w:r>
              <w:rPr>
                <w:rFonts w:hint="eastAsia" w:ascii="Times New Roman" w:hAnsi="Times New Roman" w:cs="Times New Roman"/>
                <w:color w:val="auto"/>
                <w:sz w:val="24"/>
                <w:szCs w:val="24"/>
                <w:lang w:val="en-US" w:eastAsia="zh-CN"/>
              </w:rPr>
              <w:t>采用</w:t>
            </w:r>
            <w:r>
              <w:rPr>
                <w:rFonts w:hint="eastAsia" w:cs="Times New Roman"/>
                <w:color w:val="auto"/>
                <w:sz w:val="24"/>
                <w:szCs w:val="24"/>
                <w:lang w:val="en-US" w:eastAsia="zh-CN"/>
              </w:rPr>
              <w:t>由黑龙江汇川检测有限公司出具的检测报告，该项目大气监测点位位于本项目厂界下风向，监测时间为2026年6月29日-2026年7月1日，</w:t>
            </w:r>
            <w:r>
              <w:rPr>
                <w:rFonts w:hint="default" w:ascii="Times New Roman" w:hAnsi="Times New Roman" w:eastAsia="宋体" w:cs="Times New Roman"/>
                <w:color w:val="auto"/>
                <w:sz w:val="24"/>
                <w:szCs w:val="24"/>
                <w:highlight w:val="none"/>
                <w:lang w:val="zh-CN"/>
              </w:rPr>
              <w:t>监测点位置具体见表</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-2和图</w:t>
            </w:r>
            <w:r>
              <w:rPr>
                <w:rFonts w:hint="default" w:ascii="Times New Roman" w:hAnsi="Times New Roman" w:eastAsia="宋体"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zh-CN"/>
              </w:rPr>
              <w:t>-1。</w:t>
            </w:r>
          </w:p>
          <w:p>
            <w:pPr>
              <w:pStyle w:val="36"/>
              <w:jc w:val="center"/>
              <w:rPr>
                <w:rFonts w:hint="eastAsia" w:ascii="Times New Roman" w:hAnsi="Times New Roman" w:eastAsia="仿宋_GB2312" w:cs="Times New Roman"/>
                <w:color w:val="auto"/>
                <w:lang w:eastAsia="zh-CN"/>
              </w:rPr>
            </w:pPr>
            <w:r>
              <w:rPr>
                <w:rFonts w:hAnsiTheme="minorEastAsia" w:eastAsiaTheme="minorEastAsia"/>
                <w:sz w:val="32"/>
                <w:szCs w:val="32"/>
              </w:rPr>
              <w:drawing>
                <wp:inline distT="0" distB="0" distL="0" distR="0">
                  <wp:extent cx="3657600" cy="3348990"/>
                  <wp:effectExtent l="0" t="0" r="0" b="3810"/>
                  <wp:docPr id="22" name="图片 22" descr="d:\xwechat_files\wxid_wiad8k6i2fya21_6bac\temp\InputTemp\c04ad56c-e6e2-45a9-97b7-970b98d16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d:\xwechat_files\wxid_wiad8k6i2fya21_6bac\temp\InputTemp\c04ad56c-e6e2-45a9-97b7-970b98d16603.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3675726" cy="3365779"/>
                          </a:xfrm>
                          <a:prstGeom prst="rect">
                            <a:avLst/>
                          </a:prstGeom>
                          <a:noFill/>
                          <a:ln>
                            <a:noFill/>
                          </a:ln>
                        </pic:spPr>
                      </pic:pic>
                    </a:graphicData>
                  </a:graphic>
                </wp:inline>
              </w:drawing>
            </w:r>
          </w:p>
          <w:p>
            <w:pPr>
              <w:jc w:val="center"/>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eastAsia="zh-CN"/>
              </w:rPr>
              <w:t>图</w:t>
            </w:r>
            <w:r>
              <w:rPr>
                <w:rFonts w:hint="default" w:ascii="Times New Roman" w:hAnsi="Times New Roman" w:cs="Times New Roman"/>
                <w:b/>
                <w:bCs/>
                <w:color w:val="auto"/>
                <w:sz w:val="21"/>
                <w:szCs w:val="21"/>
                <w:lang w:val="en-US" w:eastAsia="zh-CN"/>
              </w:rPr>
              <w:t>3-1 监测点位示意图</w:t>
            </w:r>
          </w:p>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2 项目环境空气现状监测布点一览表</w:t>
            </w:r>
          </w:p>
          <w:tbl>
            <w:tblPr>
              <w:tblStyle w:val="31"/>
              <w:tblW w:w="8504" w:type="dxa"/>
              <w:tblInd w:w="28"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40"/>
              <w:gridCol w:w="1476"/>
              <w:gridCol w:w="1319"/>
              <w:gridCol w:w="895"/>
              <w:gridCol w:w="1861"/>
              <w:gridCol w:w="919"/>
              <w:gridCol w:w="1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40"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监测点名称</w:t>
                  </w:r>
                </w:p>
              </w:tc>
              <w:tc>
                <w:tcPr>
                  <w:tcW w:w="2795" w:type="dxa"/>
                  <w:gridSpan w:val="2"/>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default" w:ascii="Times New Roman" w:hAnsi="Times New Roman" w:eastAsia="宋体" w:cs="Times New Roman"/>
                      <w:color w:val="auto"/>
                      <w:sz w:val="21"/>
                      <w:szCs w:val="21"/>
                      <w:highlight w:val="none"/>
                      <w:lang w:val="en-US" w:eastAsia="zh-CN"/>
                    </w:rPr>
                    <w:t>坐标(°)</w:t>
                  </w:r>
                </w:p>
              </w:tc>
              <w:tc>
                <w:tcPr>
                  <w:tcW w:w="895"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监测因子</w:t>
                  </w:r>
                </w:p>
              </w:tc>
              <w:tc>
                <w:tcPr>
                  <w:tcW w:w="1861"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监测时段</w:t>
                  </w:r>
                </w:p>
              </w:tc>
              <w:tc>
                <w:tcPr>
                  <w:tcW w:w="919"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相对厂址方位</w:t>
                  </w:r>
                </w:p>
              </w:tc>
              <w:tc>
                <w:tcPr>
                  <w:tcW w:w="1094" w:type="dxa"/>
                  <w:vMerge w:val="restart"/>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相对厂界距离</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m</w:t>
                  </w:r>
                  <w:r>
                    <w:rPr>
                      <w:rFonts w:hint="default" w:ascii="Times New Roman" w:hAnsi="Times New Roman" w:eastAsia="宋体" w:cs="Times New Roman"/>
                      <w:color w:val="auto"/>
                      <w:sz w:val="21"/>
                      <w:szCs w:val="21"/>
                      <w:highlight w:val="none"/>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40"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1476"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经度</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eastAsia="zh-CN"/>
                    </w:rPr>
                  </w:pPr>
                  <w:r>
                    <w:rPr>
                      <w:rFonts w:hint="default" w:ascii="Times New Roman" w:hAnsi="Times New Roman" w:eastAsia="宋体" w:cs="Times New Roman"/>
                      <w:color w:val="auto"/>
                      <w:sz w:val="21"/>
                      <w:szCs w:val="21"/>
                      <w:highlight w:val="none"/>
                      <w:lang w:val="en-US" w:eastAsia="zh-CN"/>
                    </w:rPr>
                    <w:t>纬度</w:t>
                  </w:r>
                </w:p>
              </w:tc>
              <w:tc>
                <w:tcPr>
                  <w:tcW w:w="895"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none"/>
                    </w:rPr>
                  </w:pPr>
                </w:p>
              </w:tc>
              <w:tc>
                <w:tcPr>
                  <w:tcW w:w="1861"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919"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c>
                <w:tcPr>
                  <w:tcW w:w="1094" w:type="dxa"/>
                  <w:vMerge w:val="continue"/>
                  <w:noWrap w:val="0"/>
                  <w:vAlign w:val="center"/>
                </w:tcPr>
                <w:p>
                  <w:pPr>
                    <w:pStyle w:val="36"/>
                    <w:spacing w:line="240" w:lineRule="auto"/>
                    <w:jc w:val="center"/>
                    <w:rPr>
                      <w:rFonts w:hint="default" w:ascii="Times New Roman" w:hAnsi="Times New Roman" w:eastAsia="宋体" w:cs="Times New Roman"/>
                      <w:color w:val="auto"/>
                      <w:sz w:val="21"/>
                      <w:szCs w:val="21"/>
                      <w:highlight w:val="yellow"/>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trPr>
              <w:tc>
                <w:tcPr>
                  <w:tcW w:w="940" w:type="dxa"/>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厂址</w:t>
                  </w:r>
                  <w:r>
                    <w:rPr>
                      <w:rFonts w:hint="eastAsia" w:cs="Times New Roman"/>
                      <w:color w:val="auto"/>
                      <w:sz w:val="21"/>
                      <w:szCs w:val="21"/>
                      <w:highlight w:val="none"/>
                      <w:lang w:val="en-US" w:eastAsia="zh-CN"/>
                    </w:rPr>
                    <w:t>下</w:t>
                  </w:r>
                  <w:r>
                    <w:rPr>
                      <w:rFonts w:hint="default" w:ascii="Times New Roman" w:hAnsi="Times New Roman" w:eastAsia="宋体" w:cs="Times New Roman"/>
                      <w:color w:val="auto"/>
                      <w:sz w:val="21"/>
                      <w:szCs w:val="21"/>
                      <w:highlight w:val="none"/>
                    </w:rPr>
                    <w:t>风向</w:t>
                  </w:r>
                  <w:r>
                    <w:rPr>
                      <w:rFonts w:hint="eastAsia" w:cs="Times New Roman"/>
                      <w:color w:val="auto"/>
                      <w:sz w:val="21"/>
                      <w:szCs w:val="21"/>
                      <w:highlight w:val="none"/>
                      <w:lang w:val="en-US" w:eastAsia="zh-CN"/>
                    </w:rPr>
                    <w:t>1#</w:t>
                  </w:r>
                </w:p>
              </w:tc>
              <w:tc>
                <w:tcPr>
                  <w:tcW w:w="1476"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129.68869122</w:t>
                  </w:r>
                </w:p>
              </w:tc>
              <w:tc>
                <w:tcPr>
                  <w:tcW w:w="1319" w:type="dxa"/>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49.28261080</w:t>
                  </w:r>
                </w:p>
              </w:tc>
              <w:tc>
                <w:tcPr>
                  <w:tcW w:w="895" w:type="dxa"/>
                  <w:tcBorders>
                    <w:top w:val="single" w:color="000000" w:sz="8" w:space="0"/>
                  </w:tcBorders>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eastAsia" w:ascii="Times New Roman" w:eastAsia="宋体" w:cs="Times New Roman"/>
                      <w:color w:val="auto"/>
                      <w:sz w:val="21"/>
                      <w:szCs w:val="21"/>
                      <w:highlight w:val="none"/>
                      <w:lang w:val="en-US" w:eastAsia="zh-CN"/>
                    </w:rPr>
                    <w:t>颗粒物</w:t>
                  </w:r>
                </w:p>
              </w:tc>
              <w:tc>
                <w:tcPr>
                  <w:tcW w:w="1861" w:type="dxa"/>
                  <w:tcBorders>
                    <w:top w:val="single" w:color="000000" w:sz="8" w:space="0"/>
                    <w:bottom w:val="single" w:color="000000" w:sz="8" w:space="0"/>
                  </w:tcBorders>
                  <w:noWrap w:val="0"/>
                  <w:vAlign w:val="center"/>
                </w:tcPr>
                <w:p>
                  <w:pPr>
                    <w:pStyle w:val="36"/>
                    <w:spacing w:line="240" w:lineRule="auto"/>
                    <w:jc w:val="center"/>
                    <w:rPr>
                      <w:rFonts w:hint="default" w:ascii="Times New Roman" w:hAnsi="Times New Roman" w:eastAsia="宋体" w:cs="Times New Roman"/>
                      <w:color w:val="auto"/>
                      <w:sz w:val="21"/>
                      <w:szCs w:val="21"/>
                      <w:highlight w:val="none"/>
                      <w:lang w:val="en-US" w:eastAsia="zh-CN" w:bidi="ar-SA"/>
                    </w:rPr>
                  </w:pPr>
                  <w:r>
                    <w:rPr>
                      <w:rFonts w:hint="eastAsia" w:ascii="Times New Roman" w:eastAsia="宋体" w:cs="Times New Roman"/>
                      <w:color w:val="auto"/>
                      <w:sz w:val="21"/>
                      <w:szCs w:val="21"/>
                      <w:highlight w:val="none"/>
                      <w:lang w:val="en-US" w:eastAsia="zh-CN" w:bidi="ar-SA"/>
                    </w:rPr>
                    <w:t>2026.6.29-2026.7.1</w:t>
                  </w:r>
                </w:p>
              </w:tc>
              <w:tc>
                <w:tcPr>
                  <w:tcW w:w="919" w:type="dxa"/>
                  <w:noWrap w:val="0"/>
                  <w:vAlign w:val="center"/>
                </w:tcPr>
                <w:p>
                  <w:pPr>
                    <w:pStyle w:val="36"/>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eastAsia="宋体" w:cs="Times New Roman"/>
                      <w:color w:val="auto"/>
                      <w:sz w:val="21"/>
                      <w:szCs w:val="21"/>
                      <w:highlight w:val="none"/>
                      <w:lang w:val="en-US" w:eastAsia="zh-CN"/>
                    </w:rPr>
                    <w:t>E</w:t>
                  </w:r>
                </w:p>
              </w:tc>
              <w:tc>
                <w:tcPr>
                  <w:tcW w:w="1094" w:type="dxa"/>
                  <w:noWrap w:val="0"/>
                  <w:vAlign w:val="center"/>
                </w:tcPr>
                <w:p>
                  <w:pPr>
                    <w:pStyle w:val="36"/>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ascii="Times New Roman" w:cs="Times New Roman"/>
                      <w:color w:val="auto"/>
                      <w:sz w:val="21"/>
                      <w:szCs w:val="21"/>
                      <w:highlight w:val="none"/>
                      <w:lang w:val="en-US" w:eastAsia="zh-CN"/>
                    </w:rPr>
                    <w:t>5</w:t>
                  </w:r>
                </w:p>
              </w:tc>
            </w:tr>
          </w:tbl>
          <w:p>
            <w:pPr>
              <w:spacing w:line="240" w:lineRule="auto"/>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表3</w:t>
            </w:r>
            <w:r>
              <w:rPr>
                <w:rFonts w:hint="default" w:ascii="Times New Roman" w:hAnsi="Times New Roman" w:eastAsia="宋体"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rPr>
              <w:t>其他污染物环境质量现状监测结果表</w:t>
            </w:r>
          </w:p>
          <w:tbl>
            <w:tblPr>
              <w:tblStyle w:val="30"/>
              <w:tblW w:w="8504"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476"/>
              <w:gridCol w:w="1319"/>
              <w:gridCol w:w="543"/>
              <w:gridCol w:w="505"/>
              <w:gridCol w:w="1002"/>
              <w:gridCol w:w="1231"/>
              <w:gridCol w:w="768"/>
              <w:gridCol w:w="522"/>
              <w:gridCol w:w="51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24"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点位</w:t>
                  </w:r>
                </w:p>
              </w:tc>
              <w:tc>
                <w:tcPr>
                  <w:tcW w:w="2795" w:type="dxa"/>
                  <w:gridSpan w:val="2"/>
                  <w:tcBorders>
                    <w:tl2br w:val="nil"/>
                    <w:tr2bl w:val="nil"/>
                  </w:tcBorders>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坐标(°)</w:t>
                  </w:r>
                </w:p>
              </w:tc>
              <w:tc>
                <w:tcPr>
                  <w:tcW w:w="543"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505"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评价时间</w:t>
                  </w:r>
                </w:p>
              </w:tc>
              <w:tc>
                <w:tcPr>
                  <w:tcW w:w="1002"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评价标准/(mg/m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1231"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监测浓度范围</w:t>
                  </w:r>
                </w:p>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/(mg/m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p>
              </w:tc>
              <w:tc>
                <w:tcPr>
                  <w:tcW w:w="768"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最大浓度占标率/%</w:t>
                  </w:r>
                </w:p>
              </w:tc>
              <w:tc>
                <w:tcPr>
                  <w:tcW w:w="522"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超标率/%</w:t>
                  </w:r>
                </w:p>
              </w:tc>
              <w:tc>
                <w:tcPr>
                  <w:tcW w:w="514" w:type="dxa"/>
                  <w:vMerge w:val="restart"/>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24"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476" w:type="dxa"/>
                  <w:tcBorders>
                    <w:tl2br w:val="nil"/>
                    <w:tr2bl w:val="nil"/>
                  </w:tcBorders>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经度</w:t>
                  </w:r>
                </w:p>
              </w:tc>
              <w:tc>
                <w:tcPr>
                  <w:tcW w:w="1319" w:type="dxa"/>
                  <w:tcBorders>
                    <w:tl2br w:val="nil"/>
                    <w:tr2bl w:val="nil"/>
                  </w:tcBorders>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纬度</w:t>
                  </w:r>
                </w:p>
              </w:tc>
              <w:tc>
                <w:tcPr>
                  <w:tcW w:w="543"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05"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002"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1231"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768"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22"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c>
                <w:tcPr>
                  <w:tcW w:w="514" w:type="dxa"/>
                  <w:vMerge w:val="continue"/>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624" w:type="dxa"/>
                  <w:tcBorders>
                    <w:tl2br w:val="nil"/>
                    <w:tr2bl w:val="nil"/>
                  </w:tcBorders>
                  <w:noWrap w:val="0"/>
                  <w:vAlign w:val="center"/>
                </w:tcPr>
                <w:p>
                  <w:pPr>
                    <w:autoSpaceDE w:val="0"/>
                    <w:autoSpaceDN w:val="0"/>
                    <w:adjustRightInd w:val="0"/>
                    <w:spacing w:line="240" w:lineRule="auto"/>
                    <w:jc w:val="center"/>
                    <w:rPr>
                      <w:rFonts w:hint="eastAsia"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厂址</w:t>
                  </w:r>
                  <w:r>
                    <w:rPr>
                      <w:rFonts w:hint="eastAsia" w:cs="Times New Roman"/>
                      <w:color w:val="auto"/>
                      <w:sz w:val="21"/>
                      <w:szCs w:val="21"/>
                      <w:highlight w:val="none"/>
                      <w:lang w:val="en-US" w:eastAsia="zh-CN"/>
                    </w:rPr>
                    <w:t>下</w:t>
                  </w:r>
                  <w:r>
                    <w:rPr>
                      <w:rFonts w:hint="default" w:ascii="Times New Roman" w:hAnsi="Times New Roman" w:eastAsia="宋体" w:cs="Times New Roman"/>
                      <w:color w:val="auto"/>
                      <w:sz w:val="21"/>
                      <w:szCs w:val="21"/>
                      <w:highlight w:val="none"/>
                    </w:rPr>
                    <w:t>风向</w:t>
                  </w:r>
                  <w:r>
                    <w:rPr>
                      <w:rFonts w:hint="eastAsia" w:cs="Times New Roman"/>
                      <w:color w:val="auto"/>
                      <w:sz w:val="21"/>
                      <w:szCs w:val="21"/>
                      <w:highlight w:val="none"/>
                      <w:lang w:val="en-US" w:eastAsia="zh-CN"/>
                    </w:rPr>
                    <w:t>1#</w:t>
                  </w:r>
                </w:p>
              </w:tc>
              <w:tc>
                <w:tcPr>
                  <w:tcW w:w="1476" w:type="dxa"/>
                  <w:tcBorders>
                    <w:tl2br w:val="nil"/>
                    <w:tr2bl w:val="nil"/>
                  </w:tcBorders>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rPr>
                    <w:t>129.68869122</w:t>
                  </w:r>
                </w:p>
              </w:tc>
              <w:tc>
                <w:tcPr>
                  <w:tcW w:w="1319" w:type="dxa"/>
                  <w:tcBorders>
                    <w:tl2br w:val="nil"/>
                    <w:tr2bl w:val="nil"/>
                  </w:tcBorders>
                  <w:noWrap w:val="0"/>
                  <w:vAlign w:val="center"/>
                </w:tcPr>
                <w:p>
                  <w:pPr>
                    <w:keepLines w:val="0"/>
                    <w:kinsoku/>
                    <w:wordWrap/>
                    <w:overflowPunct/>
                    <w:topLinePunct w:val="0"/>
                    <w:bidi w:val="0"/>
                    <w:spacing w:line="240" w:lineRule="auto"/>
                    <w:jc w:val="center"/>
                    <w:rPr>
                      <w:rFonts w:hint="default" w:ascii="Times New Roman" w:hAnsi="Times New Roman" w:eastAsia="宋体" w:cs="Times New Roman"/>
                      <w:color w:val="auto"/>
                      <w:sz w:val="21"/>
                      <w:szCs w:val="21"/>
                      <w:highlight w:val="yellow"/>
                      <w:lang w:val="en-US" w:eastAsia="zh-CN"/>
                    </w:rPr>
                  </w:pPr>
                  <w:r>
                    <w:rPr>
                      <w:rFonts w:hint="eastAsia"/>
                    </w:rPr>
                    <w:t>49.28261080</w:t>
                  </w:r>
                </w:p>
              </w:tc>
              <w:tc>
                <w:tcPr>
                  <w:tcW w:w="543" w:type="dxa"/>
                  <w:tcBorders>
                    <w:tl2br w:val="nil"/>
                    <w:tr2bl w:val="nil"/>
                  </w:tcBorders>
                  <w:noWrap w:val="0"/>
                  <w:vAlign w:val="center"/>
                </w:tcPr>
                <w:p>
                  <w:pPr>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eastAsia="zh-CN"/>
                    </w:rPr>
                    <w:t>颗粒物</w:t>
                  </w:r>
                </w:p>
              </w:tc>
              <w:tc>
                <w:tcPr>
                  <w:tcW w:w="505" w:type="dxa"/>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kern w:val="0"/>
                      <w:szCs w:val="21"/>
                      <w:highlight w:val="none"/>
                    </w:rPr>
                    <w:t>24小时平均值</w:t>
                  </w:r>
                </w:p>
              </w:tc>
              <w:tc>
                <w:tcPr>
                  <w:tcW w:w="1002" w:type="dxa"/>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0.3</w:t>
                  </w:r>
                </w:p>
              </w:tc>
              <w:tc>
                <w:tcPr>
                  <w:tcW w:w="1231" w:type="dxa"/>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0.097-0.106</w:t>
                  </w:r>
                </w:p>
              </w:tc>
              <w:tc>
                <w:tcPr>
                  <w:tcW w:w="768" w:type="dxa"/>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35.33</w:t>
                  </w:r>
                </w:p>
              </w:tc>
              <w:tc>
                <w:tcPr>
                  <w:tcW w:w="522" w:type="dxa"/>
                  <w:tcBorders>
                    <w:tl2br w:val="nil"/>
                    <w:tr2bl w:val="nil"/>
                  </w:tcBorders>
                  <w:noWrap w:val="0"/>
                  <w:vAlign w:val="center"/>
                </w:tcPr>
                <w:p>
                  <w:pPr>
                    <w:autoSpaceDE w:val="0"/>
                    <w:autoSpaceDN w:val="0"/>
                    <w:adjustRightInd w:val="0"/>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514"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达标</w:t>
                  </w:r>
                </w:p>
              </w:tc>
            </w:tr>
          </w:tbl>
          <w:p>
            <w:pPr>
              <w:pStyle w:val="87"/>
              <w:tabs>
                <w:tab w:val="left" w:pos="0"/>
              </w:tabs>
              <w:spacing w:line="360" w:lineRule="auto"/>
              <w:ind w:left="0" w:leftChars="0" w:firstLine="480" w:firstLineChars="200"/>
              <w:jc w:val="left"/>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highlight w:val="none"/>
              </w:rPr>
              <w:t>由表</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rPr>
              <w:t>-3可知，本项目所在区域在监测时段内</w:t>
            </w:r>
            <w:r>
              <w:rPr>
                <w:rFonts w:hint="default" w:ascii="Times New Roman" w:hAnsi="Times New Roman" w:eastAsia="宋体" w:cs="Times New Roman"/>
                <w:color w:val="auto"/>
                <w:sz w:val="24"/>
                <w:szCs w:val="24"/>
                <w:highlight w:val="none"/>
                <w:lang w:eastAsia="zh-CN"/>
              </w:rPr>
              <w:t>，总悬浮颗粒物</w:t>
            </w:r>
            <w:r>
              <w:rPr>
                <w:rFonts w:hint="default" w:ascii="Times New Roman" w:hAnsi="Times New Roman" w:eastAsia="宋体" w:cs="Times New Roman"/>
                <w:color w:val="auto"/>
                <w:sz w:val="24"/>
                <w:highlight w:val="none"/>
                <w:lang w:val="en-US" w:eastAsia="zh-CN"/>
              </w:rPr>
              <w:t>监测结果无超标现象，达到了《环境空气质量标准》（GB3095-20</w:t>
            </w:r>
            <w:r>
              <w:rPr>
                <w:rFonts w:hint="eastAsia" w:cs="Times New Roman"/>
                <w:color w:val="auto"/>
                <w:sz w:val="24"/>
                <w:highlight w:val="none"/>
                <w:lang w:val="en-US" w:eastAsia="zh-CN"/>
              </w:rPr>
              <w:t>26</w:t>
            </w:r>
            <w:r>
              <w:rPr>
                <w:rFonts w:hint="default" w:ascii="Times New Roman" w:hAnsi="Times New Roman" w:eastAsia="宋体" w:cs="Times New Roman"/>
                <w:color w:val="auto"/>
                <w:sz w:val="24"/>
                <w:highlight w:val="none"/>
                <w:lang w:val="en-US" w:eastAsia="zh-CN"/>
              </w:rPr>
              <w:t>）</w:t>
            </w:r>
            <w:r>
              <w:rPr>
                <w:rFonts w:hint="eastAsia" w:cs="Times New Roman"/>
                <w:color w:val="auto"/>
                <w:sz w:val="24"/>
                <w:highlight w:val="none"/>
                <w:lang w:val="en-US" w:eastAsia="zh-CN"/>
              </w:rPr>
              <w:t>中过渡阶段</w:t>
            </w:r>
            <w:r>
              <w:rPr>
                <w:rFonts w:hint="default" w:ascii="Times New Roman" w:hAnsi="Times New Roman" w:eastAsia="宋体" w:cs="Times New Roman"/>
                <w:color w:val="auto"/>
                <w:sz w:val="24"/>
                <w:highlight w:val="none"/>
                <w:lang w:val="en-US" w:eastAsia="zh-CN"/>
              </w:rPr>
              <w:t>二级标准要求</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2、地表水环境质量现状</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r>
              <w:rPr>
                <w:rFonts w:hint="default" w:ascii="Times New Roman" w:hAnsi="Times New Roman" w:eastAsia="宋体" w:cs="Times New Roman"/>
                <w:color w:val="auto"/>
                <w:kern w:val="0"/>
                <w:sz w:val="24"/>
                <w:szCs w:val="24"/>
                <w:highlight w:val="none"/>
                <w:lang w:val="en-US" w:eastAsia="zh-CN"/>
              </w:rPr>
              <w:t>根据《2025年黑龙江省生态环境质量状况》，伊春市参与国家考核计算的断面共11个，Ⅰ~Ⅲ类水质比例为63.6%，无劣V类水质断面。与上年同期相比，Ⅰ~Ⅲ类水质比例上升9.1个百分点，均无劣V类水质断面。伊春市饮用水水源地扣除自然本底因素影响后水量达标率为100%。</w:t>
            </w:r>
            <w:r>
              <w:rPr>
                <w:rFonts w:hint="default" w:ascii="Times New Roman" w:hAnsi="Times New Roman" w:eastAsia="宋体" w:cs="Times New Roman"/>
                <w:color w:val="auto"/>
                <w:kern w:val="0"/>
                <w:sz w:val="24"/>
                <w:szCs w:val="24"/>
                <w:highlight w:val="none"/>
                <w:u w:val="none" w:color="000000"/>
                <w:lang w:val="en-US" w:eastAsia="zh-CN" w:bidi="ar-SA"/>
              </w:rPr>
              <w:t>本项目所在区域地表水体为</w:t>
            </w:r>
            <w:r>
              <w:rPr>
                <w:rFonts w:hint="eastAsia" w:cs="Times New Roman"/>
                <w:color w:val="auto"/>
                <w:kern w:val="0"/>
                <w:sz w:val="24"/>
                <w:szCs w:val="24"/>
                <w:highlight w:val="none"/>
                <w:u w:val="none" w:color="000000"/>
                <w:lang w:val="en-US" w:eastAsia="zh-CN" w:bidi="ar-SA"/>
              </w:rPr>
              <w:t>黑龙江，黑龙江干流嘉荫段面水功能区类别为Ⅳ类水体，执行</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r>
              <w:rPr>
                <w:rFonts w:hint="default" w:ascii="Times New Roman" w:hAnsi="Times New Roman" w:eastAsia="宋体" w:cs="Times New Roman"/>
                <w:color w:val="auto"/>
                <w:kern w:val="0"/>
                <w:sz w:val="24"/>
                <w:szCs w:val="24"/>
                <w:highlight w:val="none"/>
                <w:lang w:val="en-US" w:eastAsia="zh-CN"/>
              </w:rPr>
              <w:t>根据《2025年黑龙江省生态环境质量状况》，</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黑龙江干流嘉荫断面为</w:t>
            </w:r>
            <w:r>
              <w:rPr>
                <w:rFonts w:hint="default" w:ascii="Times New Roman" w:hAnsi="Times New Roman" w:cs="Times New Roman"/>
                <w:color w:val="auto"/>
                <w:kern w:val="0"/>
                <w:sz w:val="24"/>
                <w:szCs w:val="24"/>
                <w:highlight w:val="none"/>
                <w:u w:val="none" w:color="000000"/>
                <w:lang w:val="en-US" w:eastAsia="zh-CN" w:bidi="ar-SA"/>
              </w:rPr>
              <w:t>Ⅴ</w:t>
            </w:r>
            <w:r>
              <w:rPr>
                <w:rFonts w:hint="default" w:ascii="Times New Roman" w:hAnsi="Times New Roman" w:eastAsia="宋体" w:cs="Times New Roman"/>
                <w:color w:val="auto"/>
                <w:kern w:val="0"/>
                <w:sz w:val="24"/>
                <w:szCs w:val="24"/>
                <w:highlight w:val="none"/>
                <w:u w:val="none" w:color="000000"/>
                <w:lang w:val="en-US" w:eastAsia="zh-CN" w:bidi="ar-SA"/>
              </w:rPr>
              <w:t>类水体</w:t>
            </w:r>
            <w:r>
              <w:rPr>
                <w:rFonts w:hint="eastAsia" w:cs="Times New Roman"/>
                <w:color w:val="auto"/>
                <w:kern w:val="0"/>
                <w:sz w:val="24"/>
                <w:szCs w:val="24"/>
                <w:highlight w:val="none"/>
                <w:u w:val="none" w:color="000000"/>
                <w:lang w:val="en-US" w:eastAsia="zh-CN" w:bidi="ar-SA"/>
              </w:rPr>
              <w:t>，超标因子为化学需氧量和高锰酸盐指数，</w:t>
            </w:r>
            <w:r>
              <w:rPr>
                <w:rFonts w:hint="default" w:ascii="Times New Roman" w:hAnsi="Times New Roman" w:eastAsia="宋体" w:cs="Times New Roman"/>
                <w:color w:val="auto"/>
                <w:kern w:val="0"/>
                <w:sz w:val="24"/>
                <w:szCs w:val="24"/>
                <w:highlight w:val="none"/>
                <w:u w:val="none" w:color="000000"/>
                <w:lang w:val="en-US" w:eastAsia="zh-CN" w:bidi="ar-SA"/>
              </w:rPr>
              <w:t>该监测断面202</w:t>
            </w:r>
            <w:r>
              <w:rPr>
                <w:rFonts w:hint="default" w:ascii="Times New Roman" w:hAnsi="Times New Roman" w:cs="Times New Roman"/>
                <w:color w:val="auto"/>
                <w:kern w:val="0"/>
                <w:sz w:val="24"/>
                <w:szCs w:val="24"/>
                <w:highlight w:val="none"/>
                <w:u w:val="none" w:color="000000"/>
                <w:lang w:val="en-US" w:eastAsia="zh-CN" w:bidi="ar-SA"/>
              </w:rPr>
              <w:t>5</w:t>
            </w:r>
            <w:r>
              <w:rPr>
                <w:rFonts w:hint="default" w:ascii="Times New Roman" w:hAnsi="Times New Roman" w:eastAsia="宋体" w:cs="Times New Roman"/>
                <w:color w:val="auto"/>
                <w:kern w:val="0"/>
                <w:sz w:val="24"/>
                <w:szCs w:val="24"/>
                <w:highlight w:val="none"/>
                <w:u w:val="none" w:color="000000"/>
                <w:lang w:val="en-US" w:eastAsia="zh-CN" w:bidi="ar-SA"/>
              </w:rPr>
              <w:t>年水质现状</w:t>
            </w:r>
            <w:r>
              <w:rPr>
                <w:rFonts w:hint="eastAsia" w:cs="Times New Roman"/>
                <w:color w:val="auto"/>
                <w:kern w:val="0"/>
                <w:sz w:val="24"/>
                <w:szCs w:val="24"/>
                <w:highlight w:val="none"/>
                <w:u w:val="none" w:color="000000"/>
                <w:lang w:val="en-US" w:eastAsia="zh-CN" w:bidi="ar-SA"/>
              </w:rPr>
              <w:t>不</w:t>
            </w:r>
            <w:r>
              <w:rPr>
                <w:rFonts w:hint="default" w:ascii="Times New Roman" w:hAnsi="Times New Roman" w:eastAsia="宋体" w:cs="Times New Roman"/>
                <w:color w:val="auto"/>
                <w:kern w:val="0"/>
                <w:sz w:val="24"/>
                <w:szCs w:val="24"/>
                <w:highlight w:val="none"/>
                <w:u w:val="none" w:color="000000"/>
                <w:lang w:val="en-US" w:eastAsia="zh-CN" w:bidi="ar-SA"/>
              </w:rPr>
              <w:t>满足《地表水环境质量标准》（GB3838-2002）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，超标原因是融雪化冰期和夏汛期间受本底值影响，扣除本底值后，</w:t>
            </w:r>
            <w:r>
              <w:rPr>
                <w:rFonts w:hint="default" w:ascii="Times New Roman" w:hAnsi="Times New Roman" w:eastAsia="宋体" w:cs="Times New Roman"/>
                <w:color w:val="auto"/>
                <w:kern w:val="0"/>
                <w:sz w:val="24"/>
                <w:szCs w:val="24"/>
                <w:highlight w:val="none"/>
                <w:u w:val="none" w:color="000000"/>
                <w:lang w:val="en-US" w:eastAsia="zh-CN" w:bidi="ar-SA"/>
              </w:rPr>
              <w:t>黑龙江干流嘉荫断面</w:t>
            </w:r>
            <w:r>
              <w:rPr>
                <w:rFonts w:hint="eastAsia" w:cs="Times New Roman"/>
                <w:color w:val="auto"/>
                <w:kern w:val="0"/>
                <w:sz w:val="24"/>
                <w:szCs w:val="24"/>
                <w:highlight w:val="none"/>
                <w:u w:val="none" w:color="000000"/>
                <w:lang w:val="en-US" w:eastAsia="zh-CN" w:bidi="ar-SA"/>
              </w:rPr>
              <w:t>满足</w:t>
            </w:r>
            <w:r>
              <w:rPr>
                <w:rFonts w:hint="default" w:ascii="Times New Roman" w:hAnsi="Times New Roman" w:eastAsia="宋体" w:cs="Times New Roman"/>
                <w:color w:val="auto"/>
                <w:kern w:val="0"/>
                <w:sz w:val="24"/>
                <w:szCs w:val="24"/>
                <w:highlight w:val="none"/>
                <w:u w:val="none" w:color="000000"/>
                <w:lang w:val="en-US" w:eastAsia="zh-CN" w:bidi="ar-SA"/>
              </w:rPr>
              <w:t>《地表水环境质量标准》（GB3838-2002）</w:t>
            </w:r>
            <w:r>
              <w:rPr>
                <w:rFonts w:hint="default" w:ascii="Times New Roman" w:hAnsi="Times New Roman" w:cs="Times New Roman"/>
                <w:color w:val="auto"/>
                <w:kern w:val="0"/>
                <w:sz w:val="24"/>
                <w:szCs w:val="24"/>
                <w:highlight w:val="none"/>
                <w:u w:val="none" w:color="000000"/>
                <w:lang w:val="en-US" w:eastAsia="zh-CN" w:bidi="ar-SA"/>
              </w:rPr>
              <w:t>Ⅳ类标准</w:t>
            </w:r>
            <w:r>
              <w:rPr>
                <w:rFonts w:hint="default" w:ascii="Times New Roman" w:hAnsi="Times New Roman" w:eastAsia="宋体" w:cs="Times New Roman"/>
                <w:color w:val="auto"/>
                <w:kern w:val="0"/>
                <w:sz w:val="24"/>
                <w:szCs w:val="24"/>
                <w:highlight w:val="none"/>
                <w:u w:val="none" w:color="000000"/>
                <w:lang w:val="en-US" w:eastAsia="zh-CN" w:bidi="ar-SA"/>
              </w:rPr>
              <w:t>要求</w:t>
            </w:r>
            <w:r>
              <w:rPr>
                <w:rFonts w:hint="eastAsia" w:cs="Times New Roman"/>
                <w:color w:val="auto"/>
                <w:kern w:val="0"/>
                <w:sz w:val="24"/>
                <w:szCs w:val="24"/>
                <w:highlight w:val="none"/>
                <w:u w:val="none" w:color="000000"/>
                <w:lang w:val="en-US" w:eastAsia="zh-CN" w:bidi="ar-SA"/>
              </w:rPr>
              <w:t>。</w:t>
            </w:r>
          </w:p>
          <w:p>
            <w:pPr>
              <w:pStyle w:val="36"/>
              <w:rPr>
                <w:rFonts w:hint="default"/>
                <w:color w:val="auto"/>
                <w:lang w:val="en-US" w:eastAsia="zh-CN"/>
              </w:rPr>
            </w:pPr>
            <w:r>
              <w:rPr>
                <w:color w:val="auto"/>
                <w:sz w:val="24"/>
              </w:rPr>
              <mc:AlternateContent>
                <mc:Choice Requires="wps">
                  <w:drawing>
                    <wp:anchor distT="0" distB="0" distL="114300" distR="114300" simplePos="0" relativeHeight="251671552" behindDoc="0" locked="0" layoutInCell="1" allowOverlap="1">
                      <wp:simplePos x="0" y="0"/>
                      <wp:positionH relativeFrom="column">
                        <wp:posOffset>2753360</wp:posOffset>
                      </wp:positionH>
                      <wp:positionV relativeFrom="paragraph">
                        <wp:posOffset>1087755</wp:posOffset>
                      </wp:positionV>
                      <wp:extent cx="1531620" cy="279400"/>
                      <wp:effectExtent l="12700" t="12700" r="17780" b="793750"/>
                      <wp:wrapNone/>
                      <wp:docPr id="48" name="矩形标注 48"/>
                      <wp:cNvGraphicFramePr/>
                      <a:graphic xmlns:a="http://schemas.openxmlformats.org/drawingml/2006/main">
                        <a:graphicData uri="http://schemas.microsoft.com/office/word/2010/wordprocessingShape">
                          <wps:wsp>
                            <wps:cNvSpPr/>
                            <wps:spPr>
                              <a:xfrm>
                                <a:off x="4406900" y="2741930"/>
                                <a:ext cx="1531620" cy="279400"/>
                              </a:xfrm>
                              <a:prstGeom prst="wedgeRectCallout">
                                <a:avLst>
                                  <a:gd name="adj1" fmla="val -16749"/>
                                  <a:gd name="adj2" fmla="val 329318"/>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216.8pt;margin-top:85.65pt;height:22pt;width:120.6pt;z-index:251671552;v-text-anchor:middle;mso-width-relative:page;mso-height-relative:page;" filled="f" stroked="t" coordsize="21600,21600" o:gfxdata="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" adj="7182,81933">
                      <v:fill on="f" focussize="0,0"/>
                      <v:stroke weight="2pt" color="#000000 [3213]" joinstyle="round"/>
                      <v:imagedata o:title=""/>
                      <o:lock v:ext="edit" aspectratio="f"/>
                      <v:textbox>
                        <w:txbxContent>
                          <w:p>
                            <w:pPr>
                              <w:jc w:val="center"/>
                              <w:rPr>
                                <w:rFonts w:hint="eastAsia" w:eastAsia="宋体"/>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pPr>
                            <w:r>
                              <w:rPr>
                                <w:rFonts w:hint="eastAsia"/>
                                <w:color w:val="000000" w:themeColor="text1"/>
                                <w:lang w:val="en-US" w:eastAsia="zh-CN"/>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Fill>
                                  <w14:solidFill>
                                    <w14:schemeClr w14:val="tx1"/>
                                  </w14:solidFill>
                                </w14:textFill>
                                <w14:props3d w14:extrusionH="0" w14:contourW="0" w14:prstMaterial="clear"/>
                              </w:rPr>
                              <w:t>黑龙江干流嘉荫断面</w:t>
                            </w:r>
                          </w:p>
                        </w:txbxContent>
                      </v:textbox>
                    </v:shape>
                  </w:pict>
                </mc:Fallback>
              </mc:AlternateContent>
            </w:r>
            <w:r>
              <w:rPr>
                <w:color w:val="auto"/>
              </w:rPr>
              <w:drawing>
                <wp:inline distT="0" distB="0" distL="114300" distR="114300">
                  <wp:extent cx="5437505" cy="4919980"/>
                  <wp:effectExtent l="0" t="0" r="10795" b="13970"/>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pic:cNvPicPr>
                        </pic:nvPicPr>
                        <pic:blipFill>
                          <a:blip r:embed="rId18"/>
                          <a:stretch>
                            <a:fillRect/>
                          </a:stretch>
                        </pic:blipFill>
                        <pic:spPr>
                          <a:xfrm>
                            <a:off x="0" y="0"/>
                            <a:ext cx="5437505" cy="4919980"/>
                          </a:xfrm>
                          <a:prstGeom prst="rect">
                            <a:avLst/>
                          </a:prstGeom>
                          <a:noFill/>
                          <a:ln>
                            <a:noFill/>
                          </a:ln>
                        </pic:spPr>
                      </pic:pic>
                    </a:graphicData>
                  </a:graphic>
                </wp:inline>
              </w:drawing>
            </w:r>
          </w:p>
          <w:p>
            <w:pPr>
              <w:jc w:val="center"/>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eastAsia="zh-CN"/>
              </w:rPr>
              <w:t>图</w:t>
            </w:r>
            <w:r>
              <w:rPr>
                <w:rFonts w:hint="default" w:ascii="Times New Roman" w:hAnsi="Times New Roman" w:cs="Times New Roman"/>
                <w:b/>
                <w:bCs/>
                <w:color w:val="auto"/>
                <w:sz w:val="24"/>
                <w:szCs w:val="24"/>
                <w:lang w:val="en-US" w:eastAsia="zh-CN"/>
              </w:rPr>
              <w:t>3-</w:t>
            </w:r>
            <w:r>
              <w:rPr>
                <w:rFonts w:hint="eastAsia" w:ascii="Times New Roman" w:hAnsi="Times New Roman" w:cs="Times New Roman"/>
                <w:b/>
                <w:bCs/>
                <w:color w:val="auto"/>
                <w:sz w:val="24"/>
                <w:szCs w:val="24"/>
                <w:lang w:val="en-US" w:eastAsia="zh-CN"/>
              </w:rPr>
              <w:t>2</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全省地表水水质状况示意图</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p>
          <w:p>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3、声环境质量现状</w:t>
            </w:r>
          </w:p>
          <w:p>
            <w:pPr>
              <w:spacing w:line="360" w:lineRule="auto"/>
              <w:ind w:firstLine="480" w:firstLineChars="200"/>
              <w:rPr>
                <w:rFonts w:hint="default" w:ascii="Times New Roman" w:hAnsi="Times New Roman" w:eastAsia="宋体" w:cs="Times New Roman"/>
                <w:color w:val="auto"/>
                <w:kern w:val="0"/>
                <w:sz w:val="24"/>
                <w:szCs w:val="24"/>
                <w:highlight w:val="none"/>
                <w:u w:val="none" w:color="000000"/>
                <w:lang w:val="en-US" w:eastAsia="zh-CN" w:bidi="ar-SA"/>
              </w:rPr>
            </w:pPr>
            <w:r>
              <w:rPr>
                <w:rFonts w:hint="eastAsia" w:ascii="Times New Roman" w:hAnsi="Times New Roman" w:eastAsia="宋体" w:cs="Times New Roman"/>
                <w:color w:val="auto"/>
                <w:kern w:val="0"/>
                <w:sz w:val="24"/>
                <w:szCs w:val="24"/>
                <w:highlight w:val="none"/>
                <w:u w:val="none" w:color="000000"/>
                <w:lang w:val="en-US" w:eastAsia="zh-CN" w:bidi="ar-SA"/>
              </w:rPr>
              <w:t>根据《建设项目环境影响报告表编制技术指南（污染影响类）（试行）》厂界外周边50米范围内存在声环境保护目标的建设项目，应监测保护目标声环境质量现状并评价达标情况。本项目厂界北侧存在声环境敏感目标，</w:t>
            </w:r>
            <w:r>
              <w:rPr>
                <w:rFonts w:hint="default" w:ascii="Times New Roman" w:hAnsi="Times New Roman" w:eastAsia="宋体" w:cs="Times New Roman"/>
                <w:color w:val="auto"/>
                <w:kern w:val="0"/>
                <w:sz w:val="24"/>
                <w:szCs w:val="24"/>
                <w:highlight w:val="none"/>
                <w:u w:val="none" w:color="000000"/>
                <w:lang w:val="en-US" w:eastAsia="zh-CN" w:bidi="ar-SA"/>
              </w:rPr>
              <w:t>本项目敏感点声环境质量现状来源于黑龙江</w:t>
            </w:r>
            <w:r>
              <w:rPr>
                <w:rFonts w:hint="eastAsia" w:ascii="Times New Roman" w:hAnsi="Times New Roman" w:eastAsia="宋体" w:cs="Times New Roman"/>
                <w:color w:val="auto"/>
                <w:kern w:val="0"/>
                <w:sz w:val="24"/>
                <w:szCs w:val="24"/>
                <w:highlight w:val="none"/>
                <w:u w:val="none" w:color="000000"/>
                <w:lang w:val="en-US" w:eastAsia="zh-CN" w:bidi="ar-SA"/>
              </w:rPr>
              <w:t>汇川检测</w:t>
            </w:r>
            <w:r>
              <w:rPr>
                <w:rFonts w:hint="default" w:ascii="Times New Roman" w:hAnsi="Times New Roman" w:eastAsia="宋体" w:cs="Times New Roman"/>
                <w:color w:val="auto"/>
                <w:kern w:val="0"/>
                <w:sz w:val="24"/>
                <w:szCs w:val="24"/>
                <w:highlight w:val="none"/>
                <w:u w:val="none" w:color="000000"/>
                <w:lang w:val="en-US" w:eastAsia="zh-CN" w:bidi="ar-SA"/>
              </w:rPr>
              <w:t>有限公司</w:t>
            </w:r>
            <w:r>
              <w:rPr>
                <w:rFonts w:hint="eastAsia" w:ascii="Times New Roman" w:hAnsi="Times New Roman" w:eastAsia="宋体" w:cs="Times New Roman"/>
                <w:color w:val="auto"/>
                <w:kern w:val="0"/>
                <w:sz w:val="24"/>
                <w:szCs w:val="24"/>
                <w:highlight w:val="none"/>
                <w:u w:val="none" w:color="000000"/>
                <w:lang w:val="en-US" w:eastAsia="zh-CN" w:bidi="ar-SA"/>
              </w:rPr>
              <w:t>出具的监测报告，环境监测点位示意图见表3-1，监测结果如下</w:t>
            </w:r>
            <w:r>
              <w:rPr>
                <w:rFonts w:hint="default" w:ascii="Times New Roman" w:hAnsi="Times New Roman" w:eastAsia="宋体" w:cs="Times New Roman"/>
                <w:color w:val="auto"/>
                <w:kern w:val="0"/>
                <w:sz w:val="24"/>
                <w:szCs w:val="24"/>
                <w:highlight w:val="none"/>
                <w:u w:val="none" w:color="000000"/>
                <w:lang w:val="en-US" w:eastAsia="zh-CN" w:bidi="ar-SA"/>
              </w:rPr>
              <w:t>。</w:t>
            </w:r>
          </w:p>
          <w:p>
            <w:pPr>
              <w:jc w:val="center"/>
              <w:rPr>
                <w:b/>
                <w:bCs/>
                <w:color w:val="auto"/>
                <w:sz w:val="24"/>
                <w:szCs w:val="32"/>
              </w:rPr>
            </w:pPr>
            <w:r>
              <w:rPr>
                <w:b/>
                <w:bCs/>
                <w:color w:val="auto"/>
                <w:sz w:val="24"/>
                <w:szCs w:val="32"/>
              </w:rPr>
              <w:t>表3-</w:t>
            </w:r>
            <w:r>
              <w:rPr>
                <w:rFonts w:hint="eastAsia"/>
                <w:b/>
                <w:bCs/>
                <w:color w:val="auto"/>
                <w:sz w:val="24"/>
                <w:szCs w:val="32"/>
                <w:lang w:val="en-US" w:eastAsia="zh-CN"/>
              </w:rPr>
              <w:t xml:space="preserve">4 </w:t>
            </w:r>
            <w:r>
              <w:rPr>
                <w:b/>
                <w:bCs/>
                <w:color w:val="auto"/>
                <w:sz w:val="24"/>
                <w:szCs w:val="32"/>
              </w:rPr>
              <w:t>声环境质量监测结果</w:t>
            </w:r>
          </w:p>
          <w:tbl>
            <w:tblPr>
              <w:tblStyle w:val="30"/>
              <w:tblW w:w="853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668"/>
              <w:gridCol w:w="2410"/>
              <w:gridCol w:w="2268"/>
              <w:gridCol w:w="119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jc w:val="center"/>
              </w:trPr>
              <w:tc>
                <w:tcPr>
                  <w:tcW w:w="2668" w:type="dxa"/>
                  <w:vMerge w:val="restart"/>
                  <w:tcBorders>
                    <w:top w:val="single" w:color="auto" w:sz="12" w:space="0"/>
                  </w:tcBorders>
                  <w:vAlign w:val="center"/>
                </w:tcPr>
                <w:p>
                  <w:pPr>
                    <w:spacing w:after="0"/>
                    <w:jc w:val="center"/>
                    <w:rPr>
                      <w:rFonts w:ascii="Times New Roman" w:hAnsiTheme="minorEastAsia" w:eastAsiaTheme="minorEastAsia"/>
                      <w:b/>
                      <w:sz w:val="21"/>
                      <w:szCs w:val="21"/>
                    </w:rPr>
                  </w:pPr>
                  <w:bookmarkStart w:id="19" w:name="_Toc889"/>
                  <w:bookmarkStart w:id="20" w:name="_Toc746"/>
                  <w:r>
                    <w:rPr>
                      <w:rFonts w:hint="eastAsia" w:ascii="Times New Roman" w:hAnsiTheme="minorEastAsia" w:eastAsiaTheme="minorEastAsia"/>
                      <w:b/>
                      <w:sz w:val="21"/>
                      <w:szCs w:val="21"/>
                    </w:rPr>
                    <w:t>检测点位</w:t>
                  </w:r>
                </w:p>
              </w:tc>
              <w:tc>
                <w:tcPr>
                  <w:tcW w:w="4678" w:type="dxa"/>
                  <w:gridSpan w:val="2"/>
                  <w:tcBorders>
                    <w:top w:val="single" w:color="auto" w:sz="12" w:space="0"/>
                    <w:bottom w:val="single" w:color="auto" w:sz="4" w:space="0"/>
                  </w:tcBorders>
                  <w:vAlign w:val="center"/>
                </w:tcPr>
                <w:p>
                  <w:pPr>
                    <w:spacing w:after="0"/>
                    <w:jc w:val="center"/>
                    <w:rPr>
                      <w:rFonts w:ascii="Times New Roman" w:hAnsiTheme="minorEastAsia" w:eastAsiaTheme="minorEastAsia"/>
                      <w:b/>
                      <w:sz w:val="21"/>
                      <w:szCs w:val="21"/>
                    </w:rPr>
                  </w:pPr>
                  <w:r>
                    <w:rPr>
                      <w:rFonts w:hint="eastAsia" w:ascii="Times New Roman" w:hAnsiTheme="minorEastAsia" w:eastAsiaTheme="minorEastAsia"/>
                      <w:b/>
                      <w:sz w:val="21"/>
                      <w:szCs w:val="21"/>
                    </w:rPr>
                    <w:t>检测结果</w:t>
                  </w:r>
                </w:p>
              </w:tc>
              <w:tc>
                <w:tcPr>
                  <w:tcW w:w="1192" w:type="dxa"/>
                  <w:vMerge w:val="restart"/>
                  <w:tcBorders>
                    <w:top w:val="single" w:color="auto" w:sz="12" w:space="0"/>
                  </w:tcBorders>
                  <w:vAlign w:val="center"/>
                </w:tcPr>
                <w:p>
                  <w:pPr>
                    <w:spacing w:after="0"/>
                    <w:jc w:val="center"/>
                    <w:rPr>
                      <w:rFonts w:ascii="Times New Roman" w:hAnsiTheme="minorEastAsia" w:eastAsiaTheme="minorEastAsia"/>
                      <w:b/>
                      <w:sz w:val="21"/>
                      <w:szCs w:val="21"/>
                    </w:rPr>
                  </w:pPr>
                  <w:r>
                    <w:rPr>
                      <w:rFonts w:hint="eastAsia" w:ascii="Times New Roman" w:hAnsiTheme="minorEastAsia" w:eastAsiaTheme="minorEastAsia"/>
                      <w:b/>
                      <w:sz w:val="21"/>
                      <w:szCs w:val="21"/>
                    </w:rPr>
                    <w:t>单位</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jc w:val="center"/>
              </w:trPr>
              <w:tc>
                <w:tcPr>
                  <w:tcW w:w="2668" w:type="dxa"/>
                  <w:vMerge w:val="continue"/>
                  <w:tcBorders>
                    <w:top w:val="single" w:color="auto" w:sz="12" w:space="0"/>
                  </w:tcBorders>
                  <w:vAlign w:val="center"/>
                </w:tcPr>
                <w:p>
                  <w:pPr>
                    <w:spacing w:after="0"/>
                    <w:jc w:val="center"/>
                    <w:rPr>
                      <w:rFonts w:ascii="Times New Roman" w:hAnsiTheme="minorEastAsia" w:eastAsiaTheme="minorEastAsia"/>
                      <w:b/>
                      <w:sz w:val="21"/>
                      <w:szCs w:val="21"/>
                    </w:rPr>
                  </w:pPr>
                </w:p>
              </w:tc>
              <w:tc>
                <w:tcPr>
                  <w:tcW w:w="4678" w:type="dxa"/>
                  <w:gridSpan w:val="2"/>
                  <w:tcBorders>
                    <w:top w:val="single" w:color="auto" w:sz="4" w:space="0"/>
                    <w:bottom w:val="single" w:color="auto" w:sz="4" w:space="0"/>
                  </w:tcBorders>
                  <w:vAlign w:val="center"/>
                </w:tcPr>
                <w:p>
                  <w:pPr>
                    <w:spacing w:after="0"/>
                    <w:jc w:val="center"/>
                    <w:rPr>
                      <w:rFonts w:hint="default" w:ascii="Times New Roman" w:hAnsiTheme="minorEastAsia" w:eastAsiaTheme="minorEastAsia"/>
                      <w:b/>
                      <w:sz w:val="21"/>
                      <w:szCs w:val="21"/>
                      <w:lang w:val="en-US" w:eastAsia="zh-CN"/>
                    </w:rPr>
                  </w:pPr>
                  <w:r>
                    <w:rPr>
                      <w:rFonts w:hint="eastAsia" w:ascii="Times New Roman" w:hAnsiTheme="minorEastAsia" w:eastAsiaTheme="minorEastAsia"/>
                      <w:b/>
                      <w:sz w:val="21"/>
                      <w:szCs w:val="21"/>
                    </w:rPr>
                    <w:t>2</w:t>
                  </w:r>
                  <w:r>
                    <w:rPr>
                      <w:rFonts w:ascii="Times New Roman" w:hAnsiTheme="minorEastAsia" w:eastAsiaTheme="minorEastAsia"/>
                      <w:b/>
                      <w:sz w:val="21"/>
                      <w:szCs w:val="21"/>
                    </w:rPr>
                    <w:t>02</w:t>
                  </w:r>
                  <w:r>
                    <w:rPr>
                      <w:rFonts w:hint="eastAsia" w:hAnsiTheme="minorEastAsia" w:eastAsiaTheme="minorEastAsia"/>
                      <w:b/>
                      <w:sz w:val="21"/>
                      <w:szCs w:val="21"/>
                      <w:lang w:val="en-US" w:eastAsia="zh-CN"/>
                    </w:rPr>
                    <w:t>6.6.29</w:t>
                  </w:r>
                </w:p>
              </w:tc>
              <w:tc>
                <w:tcPr>
                  <w:tcW w:w="1192" w:type="dxa"/>
                  <w:vMerge w:val="continue"/>
                  <w:tcBorders>
                    <w:top w:val="single" w:color="auto" w:sz="12" w:space="0"/>
                  </w:tcBorders>
                  <w:vAlign w:val="center"/>
                </w:tcPr>
                <w:p>
                  <w:pPr>
                    <w:spacing w:after="0"/>
                    <w:jc w:val="center"/>
                    <w:rPr>
                      <w:rFonts w:ascii="Times New Roman" w:hAnsiTheme="minorEastAsia" w:eastAsiaTheme="minorEastAsia"/>
                      <w:b/>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blHeader/>
                <w:jc w:val="center"/>
              </w:trPr>
              <w:tc>
                <w:tcPr>
                  <w:tcW w:w="2668" w:type="dxa"/>
                  <w:vMerge w:val="continue"/>
                  <w:tcBorders>
                    <w:bottom w:val="single" w:color="auto" w:sz="4" w:space="0"/>
                  </w:tcBorders>
                  <w:vAlign w:val="center"/>
                </w:tcPr>
                <w:p>
                  <w:pPr>
                    <w:spacing w:after="0"/>
                    <w:jc w:val="center"/>
                    <w:rPr>
                      <w:rFonts w:ascii="Times New Roman" w:hAnsiTheme="minorEastAsia" w:eastAsiaTheme="minorEastAsia"/>
                      <w:b/>
                      <w:sz w:val="21"/>
                      <w:szCs w:val="21"/>
                    </w:rPr>
                  </w:pPr>
                </w:p>
              </w:tc>
              <w:tc>
                <w:tcPr>
                  <w:tcW w:w="2410" w:type="dxa"/>
                  <w:tcBorders>
                    <w:top w:val="single" w:color="auto" w:sz="4" w:space="0"/>
                    <w:bottom w:val="single" w:color="auto" w:sz="12" w:space="0"/>
                  </w:tcBorders>
                  <w:vAlign w:val="center"/>
                </w:tcPr>
                <w:p>
                  <w:pPr>
                    <w:spacing w:after="0"/>
                    <w:jc w:val="center"/>
                    <w:rPr>
                      <w:rFonts w:ascii="Times New Roman" w:hAnsiTheme="minorEastAsia" w:eastAsiaTheme="minorEastAsia"/>
                      <w:b/>
                      <w:sz w:val="21"/>
                      <w:szCs w:val="21"/>
                    </w:rPr>
                  </w:pPr>
                  <w:r>
                    <w:rPr>
                      <w:rFonts w:hint="eastAsia" w:ascii="Times New Roman" w:hAnsiTheme="minorEastAsia" w:eastAsiaTheme="minorEastAsia"/>
                      <w:b/>
                      <w:sz w:val="21"/>
                      <w:szCs w:val="21"/>
                    </w:rPr>
                    <w:t>昼间</w:t>
                  </w:r>
                </w:p>
              </w:tc>
              <w:tc>
                <w:tcPr>
                  <w:tcW w:w="2268" w:type="dxa"/>
                  <w:tcBorders>
                    <w:top w:val="single" w:color="auto" w:sz="4" w:space="0"/>
                    <w:bottom w:val="single" w:color="auto" w:sz="12" w:space="0"/>
                  </w:tcBorders>
                  <w:vAlign w:val="center"/>
                </w:tcPr>
                <w:p>
                  <w:pPr>
                    <w:spacing w:after="0"/>
                    <w:jc w:val="center"/>
                    <w:rPr>
                      <w:rFonts w:ascii="Times New Roman" w:hAnsiTheme="minorEastAsia" w:eastAsiaTheme="minorEastAsia"/>
                      <w:b/>
                      <w:sz w:val="21"/>
                      <w:szCs w:val="21"/>
                    </w:rPr>
                  </w:pPr>
                  <w:r>
                    <w:rPr>
                      <w:rFonts w:hint="eastAsia" w:ascii="Times New Roman" w:hAnsiTheme="minorEastAsia" w:eastAsiaTheme="minorEastAsia"/>
                      <w:b/>
                      <w:sz w:val="21"/>
                      <w:szCs w:val="21"/>
                    </w:rPr>
                    <w:t>夜间</w:t>
                  </w:r>
                </w:p>
              </w:tc>
              <w:tc>
                <w:tcPr>
                  <w:tcW w:w="1192" w:type="dxa"/>
                  <w:vMerge w:val="continue"/>
                  <w:tcBorders>
                    <w:bottom w:val="single" w:color="auto" w:sz="4" w:space="0"/>
                  </w:tcBorders>
                  <w:vAlign w:val="center"/>
                </w:tcPr>
                <w:p>
                  <w:pPr>
                    <w:spacing w:after="0"/>
                    <w:jc w:val="center"/>
                    <w:rPr>
                      <w:rFonts w:ascii="Times New Roman" w:hAnsiTheme="minorEastAsia" w:eastAsiaTheme="minorEastAsia"/>
                      <w:b/>
                      <w:sz w:val="21"/>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2668" w:type="dxa"/>
                  <w:tcBorders>
                    <w:top w:val="single" w:color="auto" w:sz="12" w:space="0"/>
                  </w:tcBorders>
                  <w:vAlign w:val="center"/>
                </w:tcPr>
                <w:p>
                  <w:pPr>
                    <w:adjustRightInd/>
                    <w:snapToGrid/>
                    <w:spacing w:after="0"/>
                    <w:contextualSpacing/>
                    <w:jc w:val="center"/>
                    <w:rPr>
                      <w:rFonts w:ascii="Times New Roman" w:hAnsi="Times New Roman" w:eastAsia="宋体"/>
                      <w:color w:val="000000" w:themeColor="text1"/>
                      <w:sz w:val="21"/>
                      <w:szCs w:val="21"/>
                      <w14:textFill>
                        <w14:solidFill>
                          <w14:schemeClr w14:val="tx1"/>
                        </w14:solidFill>
                      </w14:textFill>
                    </w:rPr>
                  </w:pPr>
                  <w:r>
                    <w:rPr>
                      <w:rFonts w:hint="eastAsia" w:ascii="Times New Roman" w:hAnsi="Times New Roman" w:eastAsia="宋体"/>
                      <w:color w:val="000000" w:themeColor="text1"/>
                      <w:sz w:val="21"/>
                      <w:szCs w:val="21"/>
                      <w14:textFill>
                        <w14:solidFill>
                          <w14:schemeClr w14:val="tx1"/>
                        </w14:solidFill>
                      </w14:textFill>
                    </w:rPr>
                    <w:t>厂界北侧旧城村居民N1</w:t>
                  </w:r>
                </w:p>
              </w:tc>
              <w:tc>
                <w:tcPr>
                  <w:tcW w:w="2410" w:type="dxa"/>
                  <w:tcBorders>
                    <w:top w:val="single" w:color="auto" w:sz="12" w:space="0"/>
                  </w:tcBorders>
                  <w:vAlign w:val="center"/>
                </w:tcPr>
                <w:p>
                  <w:pPr>
                    <w:adjustRightInd/>
                    <w:snapToGrid/>
                    <w:spacing w:after="0"/>
                    <w:contextualSpacing/>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51</w:t>
                  </w:r>
                </w:p>
              </w:tc>
              <w:tc>
                <w:tcPr>
                  <w:tcW w:w="2268" w:type="dxa"/>
                  <w:tcBorders>
                    <w:top w:val="single" w:color="auto" w:sz="12" w:space="0"/>
                  </w:tcBorders>
                  <w:vAlign w:val="center"/>
                </w:tcPr>
                <w:p>
                  <w:pPr>
                    <w:contextualSpacing/>
                    <w:jc w:val="center"/>
                    <w:rPr>
                      <w:rFonts w:hint="default" w:ascii="Times New Roman" w:hAnsi="Times New Roman" w:eastAsia="宋体"/>
                      <w:color w:val="000000" w:themeColor="text1"/>
                      <w:sz w:val="21"/>
                      <w:szCs w:val="21"/>
                      <w:lang w:val="en-US" w:eastAsia="zh-CN"/>
                      <w14:textFill>
                        <w14:solidFill>
                          <w14:schemeClr w14:val="tx1"/>
                        </w14:solidFill>
                      </w14:textFill>
                    </w:rPr>
                  </w:pPr>
                  <w:r>
                    <w:rPr>
                      <w:rFonts w:hint="eastAsia"/>
                      <w:color w:val="000000" w:themeColor="text1"/>
                      <w:sz w:val="21"/>
                      <w:szCs w:val="21"/>
                      <w:lang w:val="en-US" w:eastAsia="zh-CN"/>
                      <w14:textFill>
                        <w14:solidFill>
                          <w14:schemeClr w14:val="tx1"/>
                        </w14:solidFill>
                      </w14:textFill>
                    </w:rPr>
                    <w:t>43</w:t>
                  </w:r>
                </w:p>
              </w:tc>
              <w:tc>
                <w:tcPr>
                  <w:tcW w:w="1192" w:type="dxa"/>
                  <w:tcBorders>
                    <w:top w:val="single" w:color="auto" w:sz="12" w:space="0"/>
                  </w:tcBorders>
                  <w:vAlign w:val="center"/>
                </w:tcPr>
                <w:p>
                  <w:pPr>
                    <w:spacing w:after="0"/>
                    <w:jc w:val="center"/>
                    <w:rPr>
                      <w:rFonts w:ascii="Times New Roman" w:hAnsi="Times New Roman" w:eastAsiaTheme="minorEastAsia"/>
                      <w:sz w:val="21"/>
                      <w:szCs w:val="21"/>
                    </w:rPr>
                  </w:pPr>
                  <w:r>
                    <w:rPr>
                      <w:rFonts w:hint="eastAsia" w:ascii="Times New Roman" w:hAnsi="Times New Roman" w:eastAsiaTheme="minorEastAsia"/>
                      <w:sz w:val="21"/>
                      <w:szCs w:val="21"/>
                    </w:rPr>
                    <w:t>dB(A)</w:t>
                  </w:r>
                </w:p>
              </w:tc>
            </w:tr>
          </w:tbl>
          <w:p>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eastAsia="宋体" w:cs="宋体"/>
                <w:b w:val="0"/>
                <w:bCs w:val="0"/>
                <w:color w:val="auto"/>
                <w:kern w:val="0"/>
                <w:sz w:val="24"/>
                <w:szCs w:val="24"/>
                <w:lang w:val="en-US" w:eastAsia="zh-CN" w:bidi="ar-SA"/>
              </w:rPr>
            </w:pPr>
            <w:bookmarkStart w:id="21" w:name="_Toc6146"/>
            <w:bookmarkStart w:id="22" w:name="_Toc32448"/>
            <w:r>
              <w:rPr>
                <w:rFonts w:ascii="Times New Roman" w:hAnsi="Times New Roman" w:eastAsia="宋体" w:cs="宋体"/>
                <w:b w:val="0"/>
                <w:bCs w:val="0"/>
                <w:color w:val="auto"/>
                <w:kern w:val="0"/>
                <w:sz w:val="24"/>
                <w:szCs w:val="24"/>
                <w:lang w:val="en-US" w:eastAsia="zh-CN" w:bidi="ar-SA"/>
              </w:rPr>
              <w:t>由上表可知，本项目声环境</w:t>
            </w:r>
            <w:r>
              <w:rPr>
                <w:rFonts w:hint="eastAsia" w:eastAsia="宋体" w:cs="宋体"/>
                <w:b w:val="0"/>
                <w:bCs w:val="0"/>
                <w:color w:val="auto"/>
                <w:kern w:val="0"/>
                <w:sz w:val="24"/>
                <w:szCs w:val="24"/>
                <w:lang w:val="en-US" w:eastAsia="zh-CN" w:bidi="ar-SA"/>
              </w:rPr>
              <w:t>敏感目标</w:t>
            </w:r>
            <w:r>
              <w:rPr>
                <w:rFonts w:ascii="Times New Roman" w:hAnsi="Times New Roman" w:eastAsia="宋体" w:cs="宋体"/>
                <w:b w:val="0"/>
                <w:bCs w:val="0"/>
                <w:color w:val="auto"/>
                <w:kern w:val="0"/>
                <w:sz w:val="24"/>
                <w:szCs w:val="24"/>
                <w:lang w:val="en-US" w:eastAsia="zh-CN" w:bidi="ar-SA"/>
              </w:rPr>
              <w:t>监测点昼夜间的等效声级满足《声环境质量标准》（GB3096-2008）中2类区标准要求</w:t>
            </w:r>
            <w:r>
              <w:rPr>
                <w:rFonts w:hint="eastAsia" w:ascii="Times New Roman" w:hAnsi="Times New Roman" w:eastAsia="宋体" w:cs="宋体"/>
                <w:b w:val="0"/>
                <w:bCs w:val="0"/>
                <w:color w:val="auto"/>
                <w:kern w:val="0"/>
                <w:sz w:val="24"/>
                <w:szCs w:val="24"/>
                <w:lang w:val="en-US" w:eastAsia="zh-CN" w:bidi="ar-SA"/>
              </w:rPr>
              <w:t>，</w:t>
            </w:r>
            <w:r>
              <w:rPr>
                <w:rFonts w:ascii="Times New Roman" w:hAnsi="Times New Roman" w:eastAsia="宋体" w:cs="宋体"/>
                <w:b w:val="0"/>
                <w:bCs w:val="0"/>
                <w:color w:val="auto"/>
                <w:kern w:val="0"/>
                <w:sz w:val="24"/>
                <w:szCs w:val="24"/>
                <w:lang w:val="en-US" w:eastAsia="zh-CN" w:bidi="ar-SA"/>
              </w:rPr>
              <w:t>评价区域声环境保护目标声环境质量现状达标。</w:t>
            </w:r>
            <w:bookmarkEnd w:id="19"/>
            <w:bookmarkEnd w:id="20"/>
            <w:bookmarkEnd w:id="21"/>
            <w:bookmarkEnd w:id="22"/>
          </w:p>
          <w:p>
            <w:pPr>
              <w:spacing w:line="360" w:lineRule="auto"/>
              <w:ind w:firstLine="420" w:firstLineChars="200"/>
              <w:contextualSpacing/>
              <w:jc w:val="left"/>
              <w:rPr>
                <w:rFonts w:hint="default"/>
                <w:color w:val="auto"/>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49"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环境</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保护</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目标</w:t>
            </w:r>
          </w:p>
        </w:tc>
        <w:tc>
          <w:tcPr>
            <w:tcW w:w="8834" w:type="dxa"/>
            <w:noWrap w:val="0"/>
            <w:vAlign w:val="top"/>
          </w:tcPr>
          <w:p>
            <w:pPr>
              <w:numPr>
                <w:ilvl w:val="0"/>
                <w:numId w:val="0"/>
              </w:numPr>
              <w:spacing w:line="360" w:lineRule="auto"/>
              <w:ind w:firstLine="498" w:firstLineChars="200"/>
              <w:rPr>
                <w:b/>
                <w:bCs/>
                <w:color w:val="auto"/>
                <w:spacing w:val="4"/>
                <w:sz w:val="24"/>
              </w:rPr>
            </w:pPr>
            <w:r>
              <w:rPr>
                <w:b/>
                <w:bCs/>
                <w:color w:val="auto"/>
                <w:spacing w:val="4"/>
                <w:kern w:val="2"/>
                <w:sz w:val="24"/>
                <w:szCs w:val="24"/>
                <w:lang w:val="en-US" w:eastAsia="zh-CN" w:bidi="ar-SA"/>
              </w:rPr>
              <w:t>1、</w:t>
            </w:r>
            <w:r>
              <w:rPr>
                <w:b/>
                <w:bCs/>
                <w:color w:val="auto"/>
                <w:spacing w:val="4"/>
                <w:sz w:val="24"/>
              </w:rPr>
              <w:t>环境空气保护目标</w:t>
            </w:r>
          </w:p>
          <w:p>
            <w:pPr>
              <w:spacing w:line="360" w:lineRule="auto"/>
              <w:ind w:firstLine="496" w:firstLineChars="200"/>
              <w:jc w:val="left"/>
              <w:rPr>
                <w:color w:val="auto"/>
                <w:spacing w:val="4"/>
                <w:sz w:val="24"/>
              </w:rPr>
            </w:pPr>
            <w:r>
              <w:rPr>
                <w:color w:val="auto"/>
                <w:spacing w:val="4"/>
                <w:sz w:val="24"/>
              </w:rPr>
              <w:t>本项目厂界</w:t>
            </w:r>
            <w:r>
              <w:rPr>
                <w:rFonts w:hint="eastAsia"/>
                <w:color w:val="auto"/>
                <w:spacing w:val="4"/>
                <w:sz w:val="24"/>
              </w:rPr>
              <w:t>外</w:t>
            </w:r>
            <w:r>
              <w:rPr>
                <w:color w:val="auto"/>
                <w:spacing w:val="4"/>
                <w:sz w:val="24"/>
              </w:rPr>
              <w:t>500米范围内</w:t>
            </w:r>
            <w:r>
              <w:rPr>
                <w:rFonts w:hint="eastAsia"/>
                <w:color w:val="auto"/>
                <w:spacing w:val="4"/>
                <w:sz w:val="24"/>
              </w:rPr>
              <w:t>无</w:t>
            </w:r>
            <w:r>
              <w:rPr>
                <w:color w:val="auto"/>
                <w:spacing w:val="4"/>
                <w:sz w:val="24"/>
              </w:rPr>
              <w:t>自然保护区、风景名胜区，主要环境保护目标为</w:t>
            </w:r>
            <w:r>
              <w:rPr>
                <w:rFonts w:hint="eastAsia"/>
                <w:color w:val="auto"/>
                <w:spacing w:val="4"/>
                <w:sz w:val="24"/>
                <w:lang w:val="en-US" w:eastAsia="zh-CN"/>
              </w:rPr>
              <w:t>旧城村居民</w:t>
            </w:r>
            <w:r>
              <w:rPr>
                <w:color w:val="auto"/>
                <w:spacing w:val="4"/>
                <w:sz w:val="24"/>
              </w:rPr>
              <w:t>，环境空气保护目标详见下表。</w:t>
            </w:r>
          </w:p>
          <w:p>
            <w:pPr>
              <w:pStyle w:val="104"/>
              <w:numPr>
                <w:ilvl w:val="0"/>
                <w:numId w:val="0"/>
              </w:numPr>
              <w:adjustRightInd/>
              <w:snapToGrid/>
              <w:spacing w:line="240" w:lineRule="auto"/>
              <w:ind w:left="0" w:leftChars="0" w:firstLine="0" w:firstLineChars="0"/>
              <w:rPr>
                <w:color w:val="auto"/>
              </w:rPr>
            </w:pPr>
            <w:r>
              <w:rPr>
                <w:rFonts w:hint="eastAsia"/>
                <w:b/>
                <w:bCs/>
                <w:color w:val="auto"/>
                <w:kern w:val="0"/>
                <w:sz w:val="24"/>
                <w:szCs w:val="21"/>
                <w:lang w:val="en-US" w:eastAsia="zh-CN" w:bidi="ar-SA"/>
              </w:rPr>
              <w:t>表3-5</w:t>
            </w:r>
            <w:r>
              <w:rPr>
                <w:rFonts w:hint="eastAsia"/>
                <w:b/>
                <w:color w:val="auto"/>
                <w:szCs w:val="24"/>
              </w:rPr>
              <w:t xml:space="preserve">   </w:t>
            </w:r>
            <w:r>
              <w:rPr>
                <w:b/>
                <w:color w:val="auto"/>
                <w:szCs w:val="24"/>
              </w:rPr>
              <w:t xml:space="preserve">   </w:t>
            </w:r>
            <w:r>
              <w:rPr>
                <w:rFonts w:hint="eastAsia"/>
                <w:b/>
                <w:color w:val="auto"/>
                <w:szCs w:val="24"/>
              </w:rPr>
              <w:t>环境</w:t>
            </w:r>
            <w:r>
              <w:rPr>
                <w:rFonts w:hint="eastAsia"/>
                <w:b/>
                <w:color w:val="auto"/>
                <w:szCs w:val="24"/>
                <w:lang w:val="en-US" w:eastAsia="zh-CN"/>
              </w:rPr>
              <w:t>空气</w:t>
            </w:r>
            <w:r>
              <w:rPr>
                <w:rFonts w:hint="eastAsia"/>
                <w:b/>
                <w:color w:val="auto"/>
                <w:szCs w:val="24"/>
              </w:rPr>
              <w:t>保护目标一览表</w:t>
            </w:r>
          </w:p>
          <w:tbl>
            <w:tblPr>
              <w:tblStyle w:val="30"/>
              <w:tblW w:w="8618"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73"/>
              <w:gridCol w:w="1509"/>
              <w:gridCol w:w="1464"/>
              <w:gridCol w:w="893"/>
              <w:gridCol w:w="731"/>
              <w:gridCol w:w="1026"/>
              <w:gridCol w:w="876"/>
              <w:gridCol w:w="946"/>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3"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名称</w:t>
                  </w:r>
                </w:p>
              </w:tc>
              <w:tc>
                <w:tcPr>
                  <w:tcW w:w="2973" w:type="dxa"/>
                  <w:gridSpan w:val="2"/>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坐标</w:t>
                  </w:r>
                </w:p>
              </w:tc>
              <w:tc>
                <w:tcPr>
                  <w:tcW w:w="893"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对象</w:t>
                  </w:r>
                </w:p>
              </w:tc>
              <w:tc>
                <w:tcPr>
                  <w:tcW w:w="731"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保护</w:t>
                  </w:r>
                </w:p>
                <w:p>
                  <w:pPr>
                    <w:pStyle w:val="57"/>
                    <w:spacing w:before="24" w:after="24" w:line="240" w:lineRule="auto"/>
                    <w:ind w:left="-3" w:firstLine="3"/>
                    <w:rPr>
                      <w:rFonts w:ascii="Times New Roman"/>
                      <w:color w:val="auto"/>
                      <w:szCs w:val="21"/>
                    </w:rPr>
                  </w:pPr>
                  <w:r>
                    <w:rPr>
                      <w:rFonts w:ascii="Times New Roman"/>
                      <w:color w:val="auto"/>
                      <w:szCs w:val="21"/>
                    </w:rPr>
                    <w:t>内容</w:t>
                  </w:r>
                </w:p>
              </w:tc>
              <w:tc>
                <w:tcPr>
                  <w:tcW w:w="1026" w:type="dxa"/>
                  <w:vMerge w:val="restart"/>
                  <w:noWrap w:val="0"/>
                  <w:vAlign w:val="center"/>
                </w:tcPr>
                <w:p>
                  <w:pPr>
                    <w:pStyle w:val="57"/>
                    <w:spacing w:before="24" w:after="24" w:line="240" w:lineRule="auto"/>
                    <w:ind w:left="-3" w:firstLine="3"/>
                    <w:rPr>
                      <w:rFonts w:ascii="Times New Roman"/>
                      <w:color w:val="auto"/>
                      <w:szCs w:val="21"/>
                    </w:rPr>
                  </w:pPr>
                  <w:r>
                    <w:rPr>
                      <w:rFonts w:ascii="Times New Roman"/>
                      <w:color w:val="auto"/>
                      <w:szCs w:val="21"/>
                    </w:rPr>
                    <w:t>环境</w:t>
                  </w:r>
                </w:p>
                <w:p>
                  <w:pPr>
                    <w:pStyle w:val="57"/>
                    <w:spacing w:before="24" w:after="24" w:line="240" w:lineRule="auto"/>
                    <w:ind w:left="-3" w:firstLine="3"/>
                    <w:rPr>
                      <w:rFonts w:ascii="Times New Roman"/>
                      <w:color w:val="auto"/>
                      <w:szCs w:val="21"/>
                    </w:rPr>
                  </w:pPr>
                  <w:r>
                    <w:rPr>
                      <w:rFonts w:ascii="Times New Roman"/>
                      <w:color w:val="auto"/>
                      <w:szCs w:val="21"/>
                    </w:rPr>
                    <w:t>功能区</w:t>
                  </w:r>
                </w:p>
              </w:tc>
              <w:tc>
                <w:tcPr>
                  <w:tcW w:w="876" w:type="dxa"/>
                  <w:vMerge w:val="restart"/>
                  <w:noWrap w:val="0"/>
                  <w:vAlign w:val="center"/>
                </w:tcPr>
                <w:p>
                  <w:pPr>
                    <w:rPr>
                      <w:color w:val="auto"/>
                    </w:rPr>
                  </w:pPr>
                  <w:r>
                    <w:rPr>
                      <w:color w:val="auto"/>
                    </w:rPr>
                    <w:t>相对厂址方位</w:t>
                  </w:r>
                </w:p>
              </w:tc>
              <w:tc>
                <w:tcPr>
                  <w:tcW w:w="946" w:type="dxa"/>
                  <w:vMerge w:val="restart"/>
                  <w:noWrap w:val="0"/>
                  <w:vAlign w:val="center"/>
                </w:tcPr>
                <w:p>
                  <w:pPr>
                    <w:rPr>
                      <w:rFonts w:hint="eastAsia" w:eastAsia="宋体"/>
                      <w:color w:val="auto"/>
                      <w:lang w:val="en-US" w:eastAsia="zh-CN"/>
                    </w:rPr>
                  </w:pPr>
                  <w:r>
                    <w:rPr>
                      <w:color w:val="auto"/>
                    </w:rPr>
                    <w:t>相对厂界距离</w:t>
                  </w:r>
                  <w:r>
                    <w:rPr>
                      <w:rFonts w:hint="eastAsia"/>
                      <w:color w:val="auto"/>
                      <w:lang w:val="en-US" w:eastAsia="zh-CN"/>
                    </w:rPr>
                    <w:t>m</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73" w:type="dxa"/>
                  <w:vMerge w:val="continue"/>
                  <w:noWrap w:val="0"/>
                  <w:vAlign w:val="center"/>
                </w:tcPr>
                <w:p>
                  <w:pPr>
                    <w:pStyle w:val="57"/>
                    <w:spacing w:before="24" w:after="24" w:line="240" w:lineRule="auto"/>
                    <w:ind w:left="-3"/>
                    <w:rPr>
                      <w:rFonts w:ascii="Times New Roman"/>
                      <w:bCs/>
                      <w:color w:val="auto"/>
                      <w:szCs w:val="21"/>
                    </w:rPr>
                  </w:pPr>
                </w:p>
              </w:tc>
              <w:tc>
                <w:tcPr>
                  <w:tcW w:w="1509" w:type="dxa"/>
                  <w:noWrap w:val="0"/>
                  <w:vAlign w:val="center"/>
                </w:tcPr>
                <w:p>
                  <w:pPr>
                    <w:pStyle w:val="57"/>
                    <w:adjustRightInd/>
                    <w:snapToGrid/>
                    <w:spacing w:beforeLines="0" w:afterLines="0" w:line="240" w:lineRule="auto"/>
                    <w:rPr>
                      <w:rFonts w:ascii="Times New Roman"/>
                      <w:color w:val="auto"/>
                      <w:szCs w:val="21"/>
                    </w:rPr>
                  </w:pPr>
                  <w:r>
                    <w:rPr>
                      <w:rFonts w:ascii="Times New Roman"/>
                      <w:color w:val="auto"/>
                      <w:szCs w:val="21"/>
                    </w:rPr>
                    <w:t>X</w:t>
                  </w:r>
                </w:p>
              </w:tc>
              <w:tc>
                <w:tcPr>
                  <w:tcW w:w="1464" w:type="dxa"/>
                  <w:noWrap w:val="0"/>
                  <w:vAlign w:val="center"/>
                </w:tcPr>
                <w:p>
                  <w:pPr>
                    <w:pStyle w:val="57"/>
                    <w:adjustRightInd/>
                    <w:snapToGrid/>
                    <w:spacing w:beforeLines="0" w:afterLines="0" w:line="240" w:lineRule="auto"/>
                    <w:rPr>
                      <w:rFonts w:ascii="Times New Roman"/>
                      <w:color w:val="auto"/>
                      <w:szCs w:val="21"/>
                    </w:rPr>
                  </w:pPr>
                  <w:r>
                    <w:rPr>
                      <w:rFonts w:ascii="Times New Roman"/>
                      <w:color w:val="auto"/>
                      <w:szCs w:val="21"/>
                    </w:rPr>
                    <w:t>Y</w:t>
                  </w:r>
                </w:p>
              </w:tc>
              <w:tc>
                <w:tcPr>
                  <w:tcW w:w="893" w:type="dxa"/>
                  <w:vMerge w:val="continue"/>
                  <w:noWrap w:val="0"/>
                  <w:vAlign w:val="center"/>
                </w:tcPr>
                <w:p>
                  <w:pPr>
                    <w:rPr>
                      <w:color w:val="auto"/>
                      <w:szCs w:val="21"/>
                    </w:rPr>
                  </w:pPr>
                </w:p>
              </w:tc>
              <w:tc>
                <w:tcPr>
                  <w:tcW w:w="731" w:type="dxa"/>
                  <w:vMerge w:val="continue"/>
                  <w:noWrap w:val="0"/>
                  <w:vAlign w:val="center"/>
                </w:tcPr>
                <w:p>
                  <w:pPr>
                    <w:rPr>
                      <w:color w:val="auto"/>
                      <w:szCs w:val="21"/>
                    </w:rPr>
                  </w:pPr>
                </w:p>
              </w:tc>
              <w:tc>
                <w:tcPr>
                  <w:tcW w:w="1026" w:type="dxa"/>
                  <w:vMerge w:val="continue"/>
                  <w:noWrap w:val="0"/>
                  <w:vAlign w:val="center"/>
                </w:tcPr>
                <w:p>
                  <w:pPr>
                    <w:rPr>
                      <w:color w:val="auto"/>
                      <w:szCs w:val="21"/>
                    </w:rPr>
                  </w:pPr>
                </w:p>
              </w:tc>
              <w:tc>
                <w:tcPr>
                  <w:tcW w:w="876" w:type="dxa"/>
                  <w:vMerge w:val="continue"/>
                  <w:noWrap w:val="0"/>
                  <w:vAlign w:val="center"/>
                </w:tcPr>
                <w:p>
                  <w:pPr>
                    <w:rPr>
                      <w:color w:val="auto"/>
                      <w:szCs w:val="21"/>
                    </w:rPr>
                  </w:pPr>
                </w:p>
              </w:tc>
              <w:tc>
                <w:tcPr>
                  <w:tcW w:w="946" w:type="dxa"/>
                  <w:vMerge w:val="continue"/>
                  <w:noWrap w:val="0"/>
                  <w:vAlign w:val="center"/>
                </w:tcPr>
                <w:p>
                  <w:pPr>
                    <w:rPr>
                      <w:color w:val="auto"/>
                      <w:szCs w:val="21"/>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jc w:val="center"/>
              </w:trPr>
              <w:tc>
                <w:tcPr>
                  <w:tcW w:w="1173" w:type="dxa"/>
                  <w:noWrap w:val="0"/>
                  <w:vAlign w:val="center"/>
                </w:tcPr>
                <w:p>
                  <w:pPr>
                    <w:pStyle w:val="57"/>
                    <w:adjustRightInd/>
                    <w:snapToGrid/>
                    <w:spacing w:beforeLines="0" w:afterLines="0" w:line="240" w:lineRule="auto"/>
                    <w:rPr>
                      <w:rFonts w:hint="default" w:ascii="Times New Roman"/>
                      <w:color w:val="auto"/>
                      <w:szCs w:val="21"/>
                      <w:lang w:val="en-US" w:eastAsia="zh-CN"/>
                    </w:rPr>
                  </w:pPr>
                  <w:r>
                    <w:rPr>
                      <w:rFonts w:hint="eastAsia" w:ascii="Times New Roman"/>
                      <w:color w:val="auto"/>
                      <w:szCs w:val="21"/>
                      <w:lang w:val="en-US" w:eastAsia="zh-CN"/>
                    </w:rPr>
                    <w:t>旧城村居民</w:t>
                  </w:r>
                </w:p>
              </w:tc>
              <w:tc>
                <w:tcPr>
                  <w:tcW w:w="1509" w:type="dxa"/>
                  <w:noWrap w:val="0"/>
                  <w:vAlign w:val="center"/>
                </w:tcPr>
                <w:p>
                  <w:pPr>
                    <w:pStyle w:val="57"/>
                    <w:adjustRightInd/>
                    <w:snapToGrid/>
                    <w:spacing w:beforeLines="0" w:afterLines="0" w:line="240" w:lineRule="auto"/>
                    <w:rPr>
                      <w:rFonts w:hint="default" w:ascii="Times New Roman" w:hAnsi="Times New Roman" w:cs="Times New Roman"/>
                      <w:color w:val="auto"/>
                      <w:szCs w:val="21"/>
                    </w:rPr>
                  </w:pPr>
                  <w:r>
                    <w:rPr>
                      <w:rFonts w:hint="eastAsia" w:ascii="Times New Roman" w:hAnsi="Times New Roman" w:cs="Times New Roman"/>
                      <w:color w:val="auto"/>
                      <w:szCs w:val="21"/>
                    </w:rPr>
                    <w:t>129.39597756</w:t>
                  </w:r>
                </w:p>
              </w:tc>
              <w:tc>
                <w:tcPr>
                  <w:tcW w:w="1464" w:type="dxa"/>
                  <w:noWrap w:val="0"/>
                  <w:vAlign w:val="center"/>
                </w:tcPr>
                <w:p>
                  <w:pPr>
                    <w:pStyle w:val="57"/>
                    <w:adjustRightInd/>
                    <w:snapToGrid/>
                    <w:spacing w:beforeLines="0" w:afterLines="0" w:line="240" w:lineRule="auto"/>
                    <w:rPr>
                      <w:rFonts w:hint="default" w:ascii="Times New Roman" w:hAnsi="Times New Roman" w:cs="Times New Roman"/>
                      <w:color w:val="auto"/>
                      <w:szCs w:val="21"/>
                    </w:rPr>
                  </w:pPr>
                  <w:r>
                    <w:rPr>
                      <w:rFonts w:hint="eastAsia" w:ascii="Times New Roman" w:hAnsi="Times New Roman" w:cs="Times New Roman"/>
                      <w:color w:val="auto"/>
                      <w:szCs w:val="21"/>
                    </w:rPr>
                    <w:t>49.40306716</w:t>
                  </w:r>
                </w:p>
              </w:tc>
              <w:tc>
                <w:tcPr>
                  <w:tcW w:w="893" w:type="dxa"/>
                  <w:noWrap w:val="0"/>
                  <w:vAlign w:val="center"/>
                </w:tcPr>
                <w:p>
                  <w:pPr>
                    <w:pStyle w:val="57"/>
                    <w:adjustRightInd/>
                    <w:snapToGrid/>
                    <w:spacing w:beforeLines="0" w:afterLines="0" w:line="240" w:lineRule="auto"/>
                    <w:rPr>
                      <w:rFonts w:ascii="Times New Roman"/>
                      <w:bCs/>
                      <w:color w:val="auto"/>
                      <w:szCs w:val="21"/>
                    </w:rPr>
                  </w:pPr>
                  <w:r>
                    <w:rPr>
                      <w:rFonts w:ascii="Times New Roman"/>
                      <w:bCs/>
                      <w:color w:val="auto"/>
                      <w:szCs w:val="21"/>
                    </w:rPr>
                    <w:t>居住区</w:t>
                  </w:r>
                </w:p>
              </w:tc>
              <w:tc>
                <w:tcPr>
                  <w:tcW w:w="731" w:type="dxa"/>
                  <w:noWrap w:val="0"/>
                  <w:vAlign w:val="center"/>
                </w:tcPr>
                <w:p>
                  <w:pPr>
                    <w:pStyle w:val="57"/>
                    <w:adjustRightInd/>
                    <w:snapToGrid/>
                    <w:spacing w:beforeLines="0" w:afterLines="0" w:line="240" w:lineRule="auto"/>
                    <w:rPr>
                      <w:rFonts w:ascii="Times New Roman"/>
                      <w:bCs/>
                      <w:color w:val="auto"/>
                      <w:szCs w:val="21"/>
                    </w:rPr>
                  </w:pPr>
                  <w:r>
                    <w:rPr>
                      <w:rFonts w:ascii="Times New Roman"/>
                      <w:bCs/>
                      <w:color w:val="auto"/>
                      <w:szCs w:val="21"/>
                    </w:rPr>
                    <w:t>人群</w:t>
                  </w:r>
                </w:p>
              </w:tc>
              <w:tc>
                <w:tcPr>
                  <w:tcW w:w="1026" w:type="dxa"/>
                  <w:noWrap w:val="0"/>
                  <w:vAlign w:val="center"/>
                </w:tcPr>
                <w:p>
                  <w:pPr>
                    <w:pStyle w:val="57"/>
                    <w:spacing w:before="24" w:after="24" w:line="240" w:lineRule="auto"/>
                    <w:ind w:left="-3" w:leftChars="0" w:firstLine="3" w:firstLineChars="0"/>
                    <w:rPr>
                      <w:rFonts w:ascii="Times New Roman"/>
                      <w:bCs/>
                      <w:color w:val="auto"/>
                      <w:szCs w:val="21"/>
                    </w:rPr>
                  </w:pPr>
                  <w:r>
                    <w:rPr>
                      <w:rFonts w:ascii="Times New Roman"/>
                      <w:bCs/>
                      <w:color w:val="auto"/>
                      <w:szCs w:val="21"/>
                    </w:rPr>
                    <w:t>二类区</w:t>
                  </w:r>
                </w:p>
              </w:tc>
              <w:tc>
                <w:tcPr>
                  <w:tcW w:w="876" w:type="dxa"/>
                  <w:noWrap w:val="0"/>
                  <w:vAlign w:val="center"/>
                </w:tcPr>
                <w:p>
                  <w:pPr>
                    <w:jc w:val="center"/>
                    <w:rPr>
                      <w:rFonts w:hint="default"/>
                      <w:color w:val="auto"/>
                      <w:lang w:val="en-US" w:eastAsia="zh-CN"/>
                    </w:rPr>
                  </w:pPr>
                  <w:r>
                    <w:rPr>
                      <w:rFonts w:hint="eastAsia"/>
                      <w:color w:val="auto"/>
                      <w:lang w:val="en-US" w:eastAsia="zh-CN"/>
                    </w:rPr>
                    <w:t>北</w:t>
                  </w:r>
                </w:p>
              </w:tc>
              <w:tc>
                <w:tcPr>
                  <w:tcW w:w="946" w:type="dxa"/>
                  <w:noWrap w:val="0"/>
                  <w:vAlign w:val="center"/>
                </w:tcPr>
                <w:p>
                  <w:pPr>
                    <w:jc w:val="center"/>
                    <w:rPr>
                      <w:rFonts w:hint="default"/>
                      <w:color w:val="auto"/>
                      <w:szCs w:val="21"/>
                      <w:lang w:val="en-US" w:eastAsia="zh-CN"/>
                    </w:rPr>
                  </w:pPr>
                  <w:r>
                    <w:rPr>
                      <w:rFonts w:hint="eastAsia"/>
                      <w:color w:val="auto"/>
                      <w:lang w:val="en-US" w:eastAsia="zh-CN"/>
                    </w:rPr>
                    <w:t>25m</w:t>
                  </w:r>
                </w:p>
              </w:tc>
            </w:tr>
          </w:tbl>
          <w:p>
            <w:pPr>
              <w:spacing w:line="360" w:lineRule="auto"/>
              <w:ind w:firstLine="498" w:firstLineChars="200"/>
              <w:rPr>
                <w:color w:val="auto"/>
                <w:spacing w:val="4"/>
                <w:sz w:val="24"/>
              </w:rPr>
            </w:pPr>
            <w:r>
              <w:rPr>
                <w:b/>
                <w:bCs/>
                <w:color w:val="auto"/>
                <w:spacing w:val="4"/>
                <w:sz w:val="24"/>
              </w:rPr>
              <w:t>2、地表水保护目标</w:t>
            </w:r>
            <w:r>
              <w:rPr>
                <w:color w:val="auto"/>
                <w:spacing w:val="4"/>
                <w:sz w:val="24"/>
              </w:rPr>
              <w:t>：本项目用地范围及附近不涉及饮用水水源保护区、饮用水取水口、涉水的自然保护区、风景名胜区、重要湿地、重点保护与珍稀水生生物的梄息地、重要水生生物的自然产卵场及索饵场、越冬场和洄游通道、天然渔场等渔业水体以及水产种质资源保护区等地表水环境保护目标。</w:t>
            </w:r>
          </w:p>
          <w:p>
            <w:pPr>
              <w:spacing w:line="360" w:lineRule="auto"/>
              <w:ind w:firstLine="498" w:firstLineChars="200"/>
              <w:rPr>
                <w:color w:val="auto"/>
                <w:spacing w:val="4"/>
                <w:sz w:val="24"/>
              </w:rPr>
            </w:pPr>
            <w:r>
              <w:rPr>
                <w:b/>
                <w:bCs/>
                <w:color w:val="auto"/>
                <w:spacing w:val="4"/>
                <w:sz w:val="24"/>
              </w:rPr>
              <w:t>3、声环境保护目标</w:t>
            </w:r>
            <w:r>
              <w:rPr>
                <w:color w:val="auto"/>
                <w:spacing w:val="4"/>
                <w:sz w:val="24"/>
              </w:rPr>
              <w:t>：</w:t>
            </w:r>
          </w:p>
          <w:p>
            <w:pPr>
              <w:jc w:val="center"/>
              <w:rPr>
                <w:b/>
                <w:bCs/>
                <w:color w:val="auto"/>
                <w:sz w:val="24"/>
                <w:szCs w:val="32"/>
              </w:rPr>
            </w:pPr>
            <w:r>
              <w:rPr>
                <w:b/>
                <w:bCs/>
                <w:color w:val="auto"/>
                <w:sz w:val="24"/>
                <w:szCs w:val="32"/>
              </w:rPr>
              <w:t>表</w:t>
            </w:r>
            <w:r>
              <w:rPr>
                <w:rFonts w:hint="eastAsia"/>
                <w:b/>
                <w:bCs/>
                <w:color w:val="auto"/>
                <w:sz w:val="24"/>
                <w:szCs w:val="32"/>
              </w:rPr>
              <w:t>3-</w:t>
            </w:r>
            <w:r>
              <w:rPr>
                <w:rFonts w:hint="eastAsia"/>
                <w:b/>
                <w:bCs/>
                <w:color w:val="auto"/>
                <w:sz w:val="24"/>
                <w:szCs w:val="32"/>
                <w:lang w:val="en-US" w:eastAsia="zh-CN"/>
              </w:rPr>
              <w:t>6</w:t>
            </w:r>
            <w:r>
              <w:rPr>
                <w:b/>
                <w:bCs/>
                <w:color w:val="auto"/>
                <w:sz w:val="24"/>
                <w:szCs w:val="32"/>
              </w:rPr>
              <w:t xml:space="preserve"> </w:t>
            </w:r>
            <w:r>
              <w:rPr>
                <w:rFonts w:hint="eastAsia"/>
                <w:b/>
                <w:bCs/>
                <w:color w:val="auto"/>
                <w:sz w:val="24"/>
                <w:szCs w:val="32"/>
              </w:rPr>
              <w:t>声</w:t>
            </w:r>
            <w:r>
              <w:rPr>
                <w:b/>
                <w:bCs/>
                <w:color w:val="auto"/>
                <w:sz w:val="24"/>
                <w:szCs w:val="32"/>
              </w:rPr>
              <w:t>环境保护目标</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62"/>
              <w:gridCol w:w="1982"/>
              <w:gridCol w:w="1050"/>
              <w:gridCol w:w="853"/>
              <w:gridCol w:w="941"/>
              <w:gridCol w:w="262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76" w:hRule="atLeast"/>
                <w:tblHeader/>
              </w:trPr>
              <w:tc>
                <w:tcPr>
                  <w:tcW w:w="1162" w:type="dxa"/>
                  <w:noWrap w:val="0"/>
                  <w:vAlign w:val="center"/>
                </w:tcPr>
                <w:p>
                  <w:pPr>
                    <w:widowControl/>
                    <w:spacing w:line="360" w:lineRule="auto"/>
                    <w:jc w:val="center"/>
                    <w:rPr>
                      <w:color w:val="auto"/>
                      <w:szCs w:val="21"/>
                    </w:rPr>
                  </w:pPr>
                  <w:r>
                    <w:rPr>
                      <w:color w:val="auto"/>
                      <w:szCs w:val="21"/>
                    </w:rPr>
                    <w:t>环境元素</w:t>
                  </w:r>
                </w:p>
              </w:tc>
              <w:tc>
                <w:tcPr>
                  <w:tcW w:w="1982" w:type="dxa"/>
                  <w:noWrap w:val="0"/>
                  <w:vAlign w:val="center"/>
                </w:tcPr>
                <w:p>
                  <w:pPr>
                    <w:spacing w:line="360" w:lineRule="auto"/>
                    <w:jc w:val="center"/>
                    <w:rPr>
                      <w:color w:val="auto"/>
                      <w:szCs w:val="21"/>
                    </w:rPr>
                  </w:pPr>
                  <w:r>
                    <w:rPr>
                      <w:color w:val="auto"/>
                      <w:szCs w:val="21"/>
                    </w:rPr>
                    <w:t>环境保护目标</w:t>
                  </w:r>
                </w:p>
              </w:tc>
              <w:tc>
                <w:tcPr>
                  <w:tcW w:w="1050" w:type="dxa"/>
                  <w:noWrap w:val="0"/>
                  <w:vAlign w:val="center"/>
                </w:tcPr>
                <w:p>
                  <w:pPr>
                    <w:spacing w:line="360" w:lineRule="auto"/>
                    <w:jc w:val="center"/>
                    <w:rPr>
                      <w:color w:val="auto"/>
                      <w:szCs w:val="21"/>
                    </w:rPr>
                  </w:pPr>
                  <w:r>
                    <w:rPr>
                      <w:color w:val="auto"/>
                      <w:szCs w:val="21"/>
                    </w:rPr>
                    <w:t>方位</w:t>
                  </w:r>
                </w:p>
              </w:tc>
              <w:tc>
                <w:tcPr>
                  <w:tcW w:w="853" w:type="dxa"/>
                  <w:noWrap w:val="0"/>
                  <w:vAlign w:val="center"/>
                </w:tcPr>
                <w:p>
                  <w:pPr>
                    <w:spacing w:line="360" w:lineRule="auto"/>
                    <w:jc w:val="center"/>
                    <w:rPr>
                      <w:rFonts w:hint="eastAsia" w:eastAsia="宋体"/>
                      <w:color w:val="auto"/>
                      <w:szCs w:val="21"/>
                      <w:lang w:eastAsia="zh-CN"/>
                    </w:rPr>
                  </w:pPr>
                  <w:r>
                    <w:rPr>
                      <w:color w:val="auto"/>
                      <w:szCs w:val="21"/>
                    </w:rPr>
                    <w:t>距离</w:t>
                  </w:r>
                </w:p>
              </w:tc>
              <w:tc>
                <w:tcPr>
                  <w:tcW w:w="941" w:type="dxa"/>
                  <w:noWrap w:val="0"/>
                  <w:vAlign w:val="center"/>
                </w:tcPr>
                <w:p>
                  <w:pPr>
                    <w:spacing w:line="360" w:lineRule="auto"/>
                    <w:jc w:val="center"/>
                    <w:rPr>
                      <w:color w:val="auto"/>
                      <w:szCs w:val="21"/>
                    </w:rPr>
                  </w:pPr>
                  <w:r>
                    <w:rPr>
                      <w:rFonts w:hint="eastAsia"/>
                      <w:color w:val="auto"/>
                      <w:szCs w:val="21"/>
                    </w:rPr>
                    <w:t>人数</w:t>
                  </w:r>
                </w:p>
              </w:tc>
              <w:tc>
                <w:tcPr>
                  <w:tcW w:w="2627" w:type="dxa"/>
                  <w:noWrap w:val="0"/>
                  <w:vAlign w:val="center"/>
                </w:tcPr>
                <w:p>
                  <w:pPr>
                    <w:spacing w:line="360" w:lineRule="auto"/>
                    <w:jc w:val="center"/>
                    <w:rPr>
                      <w:color w:val="auto"/>
                      <w:szCs w:val="21"/>
                    </w:rPr>
                  </w:pPr>
                  <w:r>
                    <w:rPr>
                      <w:color w:val="auto"/>
                      <w:szCs w:val="21"/>
                    </w:rPr>
                    <w:t>环境保护级别</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60" w:hRule="atLeast"/>
                <w:tblHeader/>
              </w:trPr>
              <w:tc>
                <w:tcPr>
                  <w:tcW w:w="1162" w:type="dxa"/>
                  <w:noWrap w:val="0"/>
                  <w:vAlign w:val="center"/>
                </w:tcPr>
                <w:p>
                  <w:pPr>
                    <w:widowControl/>
                    <w:spacing w:line="360" w:lineRule="auto"/>
                    <w:jc w:val="center"/>
                    <w:rPr>
                      <w:color w:val="auto"/>
                      <w:szCs w:val="21"/>
                    </w:rPr>
                  </w:pPr>
                  <w:r>
                    <w:rPr>
                      <w:color w:val="auto"/>
                      <w:szCs w:val="21"/>
                    </w:rPr>
                    <w:t>声环境</w:t>
                  </w:r>
                </w:p>
              </w:tc>
              <w:tc>
                <w:tcPr>
                  <w:tcW w:w="1982" w:type="dxa"/>
                  <w:noWrap w:val="0"/>
                  <w:vAlign w:val="center"/>
                </w:tcPr>
                <w:p>
                  <w:pPr>
                    <w:pStyle w:val="57"/>
                    <w:adjustRightInd/>
                    <w:snapToGrid/>
                    <w:spacing w:beforeLines="0" w:afterLines="0" w:line="240" w:lineRule="auto"/>
                    <w:rPr>
                      <w:color w:val="auto"/>
                      <w:szCs w:val="21"/>
                    </w:rPr>
                  </w:pPr>
                  <w:r>
                    <w:rPr>
                      <w:rFonts w:hint="eastAsia" w:ascii="Times New Roman"/>
                      <w:color w:val="auto"/>
                      <w:szCs w:val="21"/>
                      <w:lang w:val="en-US" w:eastAsia="zh-CN"/>
                    </w:rPr>
                    <w:t>旧城村居民</w:t>
                  </w:r>
                </w:p>
              </w:tc>
              <w:tc>
                <w:tcPr>
                  <w:tcW w:w="1050" w:type="dxa"/>
                  <w:noWrap w:val="0"/>
                  <w:vAlign w:val="center"/>
                </w:tcPr>
                <w:p>
                  <w:pPr>
                    <w:spacing w:line="360" w:lineRule="auto"/>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北侧</w:t>
                  </w:r>
                </w:p>
              </w:tc>
              <w:tc>
                <w:tcPr>
                  <w:tcW w:w="853" w:type="dxa"/>
                  <w:noWrap w:val="0"/>
                  <w:vAlign w:val="center"/>
                </w:tcPr>
                <w:p>
                  <w:pPr>
                    <w:spacing w:line="360" w:lineRule="auto"/>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10m</w:t>
                  </w:r>
                </w:p>
              </w:tc>
              <w:tc>
                <w:tcPr>
                  <w:tcW w:w="941" w:type="dxa"/>
                  <w:noWrap w:val="0"/>
                  <w:vAlign w:val="center"/>
                </w:tcPr>
                <w:p>
                  <w:pPr>
                    <w:spacing w:line="360" w:lineRule="auto"/>
                    <w:jc w:val="center"/>
                    <w:rPr>
                      <w:rFonts w:hint="eastAsia" w:ascii="Times New Roman" w:hAnsi="Times New Roman" w:eastAsia="宋体" w:cs="Times New Roman"/>
                      <w:color w:val="auto"/>
                      <w:kern w:val="0"/>
                      <w:sz w:val="21"/>
                      <w:szCs w:val="21"/>
                      <w:lang w:val="en-US" w:eastAsia="zh-CN" w:bidi="ar-SA"/>
                    </w:rPr>
                  </w:pPr>
                  <w:r>
                    <w:rPr>
                      <w:rFonts w:hint="eastAsia" w:cs="Times New Roman"/>
                      <w:color w:val="auto"/>
                      <w:kern w:val="0"/>
                      <w:sz w:val="21"/>
                      <w:szCs w:val="21"/>
                      <w:lang w:val="en-US" w:eastAsia="zh-CN" w:bidi="ar-SA"/>
                    </w:rPr>
                    <w:t>9</w:t>
                  </w:r>
                  <w:r>
                    <w:rPr>
                      <w:rFonts w:hint="eastAsia" w:ascii="Times New Roman" w:hAnsi="Times New Roman" w:eastAsia="宋体" w:cs="Times New Roman"/>
                      <w:color w:val="auto"/>
                      <w:kern w:val="0"/>
                      <w:sz w:val="21"/>
                      <w:szCs w:val="21"/>
                      <w:lang w:val="en-US" w:eastAsia="zh-CN" w:bidi="ar-SA"/>
                    </w:rPr>
                    <w:t>人</w:t>
                  </w:r>
                </w:p>
              </w:tc>
              <w:tc>
                <w:tcPr>
                  <w:tcW w:w="2627" w:type="dxa"/>
                  <w:noWrap w:val="0"/>
                  <w:vAlign w:val="center"/>
                </w:tcPr>
                <w:p>
                  <w:pPr>
                    <w:spacing w:line="360" w:lineRule="auto"/>
                    <w:jc w:val="center"/>
                    <w:rPr>
                      <w:color w:val="auto"/>
                      <w:szCs w:val="21"/>
                    </w:rPr>
                  </w:pPr>
                  <w:r>
                    <w:rPr>
                      <w:color w:val="auto"/>
                      <w:szCs w:val="21"/>
                    </w:rPr>
                    <w:t>《声环境质量标准》（GB3096-2008）</w:t>
                  </w:r>
                  <w:r>
                    <w:rPr>
                      <w:rFonts w:hint="eastAsia"/>
                      <w:color w:val="auto"/>
                      <w:szCs w:val="21"/>
                    </w:rPr>
                    <w:t>2</w:t>
                  </w:r>
                  <w:r>
                    <w:rPr>
                      <w:color w:val="auto"/>
                      <w:szCs w:val="21"/>
                    </w:rPr>
                    <w:t>类区</w:t>
                  </w:r>
                </w:p>
              </w:tc>
            </w:tr>
          </w:tbl>
          <w:p>
            <w:pPr>
              <w:pStyle w:val="6"/>
              <w:rPr>
                <w:color w:val="auto"/>
              </w:rPr>
            </w:pPr>
          </w:p>
          <w:p>
            <w:pPr>
              <w:pStyle w:val="2"/>
              <w:spacing w:line="360" w:lineRule="auto"/>
              <w:ind w:left="0" w:leftChars="0" w:firstLine="498" w:firstLineChars="200"/>
              <w:rPr>
                <w:color w:val="auto"/>
                <w:spacing w:val="4"/>
                <w:sz w:val="24"/>
              </w:rPr>
            </w:pPr>
            <w:r>
              <w:rPr>
                <w:b/>
                <w:bCs/>
                <w:color w:val="auto"/>
                <w:spacing w:val="4"/>
                <w:sz w:val="24"/>
              </w:rPr>
              <w:t>4、地下水保护目标</w:t>
            </w:r>
            <w:r>
              <w:rPr>
                <w:color w:val="auto"/>
                <w:spacing w:val="4"/>
                <w:sz w:val="24"/>
              </w:rPr>
              <w:t>：</w:t>
            </w:r>
            <w:r>
              <w:rPr>
                <w:bCs/>
                <w:color w:val="auto"/>
                <w:sz w:val="24"/>
              </w:rPr>
              <w:t>本项目</w:t>
            </w:r>
            <w:r>
              <w:rPr>
                <w:color w:val="auto"/>
                <w:spacing w:val="4"/>
                <w:sz w:val="24"/>
              </w:rPr>
              <w:t>厂界外500m范围内无地下水集中式饮用水水源和热水、矿泉水、温泉等特殊地下水资源。</w:t>
            </w:r>
          </w:p>
          <w:p>
            <w:pPr>
              <w:snapToGrid w:val="0"/>
              <w:spacing w:line="360" w:lineRule="auto"/>
              <w:rPr>
                <w:color w:val="auto"/>
              </w:rPr>
            </w:pPr>
            <w:r>
              <w:rPr>
                <w:color w:val="auto"/>
                <w:sz w:val="24"/>
              </w:rPr>
              <mc:AlternateContent>
                <mc:Choice Requires="wps">
                  <w:drawing>
                    <wp:anchor distT="0" distB="0" distL="114300" distR="114300" simplePos="0" relativeHeight="251669504" behindDoc="0" locked="0" layoutInCell="1" allowOverlap="1">
                      <wp:simplePos x="0" y="0"/>
                      <wp:positionH relativeFrom="column">
                        <wp:posOffset>5011420</wp:posOffset>
                      </wp:positionH>
                      <wp:positionV relativeFrom="paragraph">
                        <wp:posOffset>4251325</wp:posOffset>
                      </wp:positionV>
                      <wp:extent cx="309880" cy="111125"/>
                      <wp:effectExtent l="0" t="0" r="13970" b="3175"/>
                      <wp:wrapNone/>
                      <wp:docPr id="90" name="矩形 90"/>
                      <wp:cNvGraphicFramePr/>
                      <a:graphic xmlns:a="http://schemas.openxmlformats.org/drawingml/2006/main">
                        <a:graphicData uri="http://schemas.microsoft.com/office/word/2010/wordprocessingShape">
                          <wps:wsp>
                            <wps:cNvSpPr/>
                            <wps:spPr>
                              <a:xfrm>
                                <a:off x="0" y="0"/>
                                <a:ext cx="309880" cy="111125"/>
                              </a:xfrm>
                              <a:prstGeom prst="rect">
                                <a:avLst/>
                              </a:prstGeom>
                              <a:solidFill>
                                <a:srgbClr val="FFFF00"/>
                              </a:solidFill>
                              <a:ln>
                                <a:no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4.6pt;margin-top:334.75pt;height:8.75pt;width:24.4pt;z-index:251669504;v-text-anchor:middle;mso-width-relative:page;mso-height-relative:page;" fillcolor="#FFFF00" filled="t" stroked="f" coordsize="21600,21600" o:gfxdata="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N7vGe9sAAAALAQAADwAAAAAAAAABACAA&#10;AAAiAAAAZHJzL2Rvd25yZXYueG1sUEsBAhQAFAAAAAgAh07iQGe9zKVDAgAAZwQAAA4AAAAAAAAA&#10;AQAgAAAAKgEAAGRycy9lMm9Eb2MueG1sUEsFBgAAAAAGAAYAWQEAAN8FAAAAAA==&#10;">
                      <v:fill on="t" focussize="0,0"/>
                      <v:stroke on="f" weight="2pt"/>
                      <v:imagedata o:title=""/>
                      <o:lock v:ext="edit" aspectratio="f"/>
                    </v:rect>
                  </w:pict>
                </mc:Fallback>
              </mc:AlternateContent>
            </w:r>
            <w:r>
              <w:rPr>
                <w:color w:val="auto"/>
                <w:sz w:val="24"/>
              </w:rPr>
              <mc:AlternateContent>
                <mc:Choice Requires="wps">
                  <w:drawing>
                    <wp:anchor distT="0" distB="0" distL="114300" distR="114300" simplePos="0" relativeHeight="251668480" behindDoc="0" locked="0" layoutInCell="1" allowOverlap="1">
                      <wp:simplePos x="0" y="0"/>
                      <wp:positionH relativeFrom="column">
                        <wp:posOffset>5019040</wp:posOffset>
                      </wp:positionH>
                      <wp:positionV relativeFrom="paragraph">
                        <wp:posOffset>4121785</wp:posOffset>
                      </wp:positionV>
                      <wp:extent cx="309880" cy="111125"/>
                      <wp:effectExtent l="12700" t="12700" r="20320" b="28575"/>
                      <wp:wrapNone/>
                      <wp:docPr id="91" name="矩形 91"/>
                      <wp:cNvGraphicFramePr/>
                      <a:graphic xmlns:a="http://schemas.openxmlformats.org/drawingml/2006/main">
                        <a:graphicData uri="http://schemas.microsoft.com/office/word/2010/wordprocessingShape">
                          <wps:wsp>
                            <wps:cNvSpPr/>
                            <wps:spPr>
                              <a:xfrm>
                                <a:off x="0" y="0"/>
                                <a:ext cx="309880" cy="1111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5.2pt;margin-top:324.55pt;height:8.75pt;width:24.4pt;z-index:251668480;v-text-anchor:middle;mso-width-relative:page;mso-height-relative:page;" filled="f" stroked="t" coordsize="21600,21600" o:gfxdata="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BerBc2QAAAAsBAAAPAAAAAAAAAAEAIAAAACIA&#10;AABkcnMvZG93bnJldi54bWxQSwECFAAUAAAACACHTuJArHCAh0ECAABnBAAADgAAAAAAAAABACAA&#10;AAAoAQAAZHJzL2Uyb0RvYy54bWxQSwUGAAAAAAYABgBZAQAA2wUAAAAA&#10;">
                      <v:fill on="f" focussize="0,0"/>
                      <v:stroke weight="2pt" color="#FF0000 [2404]" joinstyle="round"/>
                      <v:imagedata o:title=""/>
                      <o:lock v:ext="edit" aspectratio="f"/>
                    </v:rect>
                  </w:pict>
                </mc:Fallback>
              </mc:AlternateContent>
            </w:r>
            <w:r>
              <w:rPr>
                <w:color w:val="auto"/>
                <w:sz w:val="24"/>
              </w:rPr>
              <mc:AlternateContent>
                <mc:Choice Requires="wps">
                  <w:drawing>
                    <wp:anchor distT="0" distB="0" distL="114300" distR="114300" simplePos="0" relativeHeight="251667456" behindDoc="0" locked="0" layoutInCell="1" allowOverlap="1">
                      <wp:simplePos x="0" y="0"/>
                      <wp:positionH relativeFrom="column">
                        <wp:posOffset>5019040</wp:posOffset>
                      </wp:positionH>
                      <wp:positionV relativeFrom="paragraph">
                        <wp:posOffset>3999865</wp:posOffset>
                      </wp:positionV>
                      <wp:extent cx="309880" cy="111125"/>
                      <wp:effectExtent l="12700" t="12700" r="20320" b="28575"/>
                      <wp:wrapNone/>
                      <wp:docPr id="92" name="矩形 92"/>
                      <wp:cNvGraphicFramePr/>
                      <a:graphic xmlns:a="http://schemas.openxmlformats.org/drawingml/2006/main">
                        <a:graphicData uri="http://schemas.microsoft.com/office/word/2010/wordprocessingShape">
                          <wps:wsp>
                            <wps:cNvSpPr/>
                            <wps:spPr>
                              <a:xfrm>
                                <a:off x="0" y="0"/>
                                <a:ext cx="309880" cy="111125"/>
                              </a:xfrm>
                              <a:prstGeom prst="rect">
                                <a:avLst/>
                              </a:prstGeom>
                              <a:noFill/>
                              <a:ln>
                                <a:solidFill>
                                  <a:srgbClr val="92D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5.2pt;margin-top:314.95pt;height:8.75pt;width:24.4pt;z-index:251667456;v-text-anchor:middle;mso-width-relative:page;mso-height-relative:page;" filled="f" stroked="t" coordsize="21600,21600" o:gfxdata="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nEr+32AAAAAsBAAAPAAAAAAAAAAEAIAAA&#10;ACIAAABkcnMvZG93bnJldi54bWxQSwECFAAUAAAACACHTuJAw6XIwkUCAABnBAAADgAAAAAAAAAB&#10;ACAAAAAnAQAAZHJzL2Uyb0RvYy54bWxQSwUGAAAAAAYABgBZAQAA3gUAAAAA&#10;">
                      <v:fill on="f" focussize="0,0"/>
                      <v:stroke weight="2pt" color="#92D050 [2404]" joinstyle="round"/>
                      <v:imagedata o:title=""/>
                      <o:lock v:ext="edit" aspectratio="f"/>
                    </v:rect>
                  </w:pict>
                </mc:Fallback>
              </mc:AlternateContent>
            </w:r>
            <w:r>
              <w:rPr>
                <w:color w:val="auto"/>
                <w:sz w:val="24"/>
              </w:rPr>
              <mc:AlternateContent>
                <mc:Choice Requires="wps">
                  <w:drawing>
                    <wp:anchor distT="0" distB="0" distL="114300" distR="114300" simplePos="0" relativeHeight="251666432" behindDoc="0" locked="0" layoutInCell="1" allowOverlap="1">
                      <wp:simplePos x="0" y="0"/>
                      <wp:positionH relativeFrom="column">
                        <wp:posOffset>4980940</wp:posOffset>
                      </wp:positionH>
                      <wp:positionV relativeFrom="paragraph">
                        <wp:posOffset>3855085</wp:posOffset>
                      </wp:positionV>
                      <wp:extent cx="309880" cy="111125"/>
                      <wp:effectExtent l="12700" t="12700" r="20320" b="28575"/>
                      <wp:wrapNone/>
                      <wp:docPr id="38" name="矩形 38"/>
                      <wp:cNvGraphicFramePr/>
                      <a:graphic xmlns:a="http://schemas.openxmlformats.org/drawingml/2006/main">
                        <a:graphicData uri="http://schemas.microsoft.com/office/word/2010/wordprocessingShape">
                          <wps:wsp>
                            <wps:cNvSpPr/>
                            <wps:spPr>
                              <a:xfrm>
                                <a:off x="6240145" y="4941570"/>
                                <a:ext cx="309880" cy="111125"/>
                              </a:xfrm>
                              <a:prstGeom prst="rect">
                                <a:avLst/>
                              </a:prstGeom>
                              <a:noFill/>
                              <a:ln>
                                <a:solidFill>
                                  <a:srgbClr val="1D1DA2"/>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2pt;margin-top:303.55pt;height:8.75pt;width:24.4pt;z-index:251666432;v-text-anchor:middle;mso-width-relative:page;mso-height-relative:page;" filled="f" stroked="t" coordsize="21600,21600" o:gfxdata="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WkMHztsAAAALAQAA&#10;DwAAAAAAAAABACAAAAAiAAAAZHJzL2Rvd25yZXYueG1sUEsBAhQAFAAAAAgAh07iQAJTZ7tPAgAA&#10;cwQAAA4AAAAAAAAAAQAgAAAAKgEAAGRycy9lMm9Eb2MueG1sUEsFBgAAAAAGAAYAWQEAAOsFAAAA&#10;AA==&#10;">
                      <v:fill on="f" focussize="0,0"/>
                      <v:stroke weight="2pt" color="#1D1DA2 [2404]" joinstyle="round"/>
                      <v:imagedata o:title=""/>
                      <o:lock v:ext="edit" aspectratio="f"/>
                    </v:rect>
                  </w:pict>
                </mc:Fallback>
              </mc:AlternateContent>
            </w:r>
            <w:r>
              <w:rPr>
                <w:color w:val="auto"/>
                <w:sz w:val="24"/>
              </w:rPr>
              <mc:AlternateContent>
                <mc:Choice Requires="wps">
                  <w:drawing>
                    <wp:anchor distT="0" distB="0" distL="114300" distR="114300" simplePos="0" relativeHeight="251665408" behindDoc="0" locked="0" layoutInCell="1" allowOverlap="1">
                      <wp:simplePos x="0" y="0"/>
                      <wp:positionH relativeFrom="column">
                        <wp:posOffset>4314190</wp:posOffset>
                      </wp:positionH>
                      <wp:positionV relativeFrom="paragraph">
                        <wp:posOffset>3672205</wp:posOffset>
                      </wp:positionV>
                      <wp:extent cx="1079500" cy="754380"/>
                      <wp:effectExtent l="4445" t="4445" r="20955" b="22225"/>
                      <wp:wrapNone/>
                      <wp:docPr id="27" name="文本框 27"/>
                      <wp:cNvGraphicFramePr/>
                      <a:graphic xmlns:a="http://schemas.openxmlformats.org/drawingml/2006/main">
                        <a:graphicData uri="http://schemas.microsoft.com/office/word/2010/wordprocessingShape">
                          <wps:wsp>
                            <wps:cNvSpPr txBox="1"/>
                            <wps:spPr>
                              <a:xfrm>
                                <a:off x="5359400" y="4274820"/>
                                <a:ext cx="1079500" cy="7543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16"/>
                                      <w:szCs w:val="20"/>
                                      <w:lang w:val="en-US" w:eastAsia="zh-CN"/>
                                    </w:rPr>
                                  </w:pPr>
                                  <w:r>
                                    <w:rPr>
                                      <w:rFonts w:hint="eastAsia"/>
                                      <w:sz w:val="16"/>
                                      <w:szCs w:val="20"/>
                                      <w:lang w:val="en-US" w:eastAsia="zh-CN"/>
                                    </w:rPr>
                                    <w:t>图例</w:t>
                                  </w:r>
                                </w:p>
                                <w:p>
                                  <w:pPr>
                                    <w:pStyle w:val="2"/>
                                    <w:ind w:left="0" w:leftChars="0" w:firstLine="0" w:firstLineChars="0"/>
                                    <w:rPr>
                                      <w:rFonts w:hint="eastAsia"/>
                                      <w:sz w:val="16"/>
                                      <w:szCs w:val="20"/>
                                      <w:lang w:val="en-US" w:eastAsia="zh-CN"/>
                                    </w:rPr>
                                  </w:pPr>
                                  <w:r>
                                    <w:rPr>
                                      <w:rFonts w:hint="eastAsia"/>
                                      <w:sz w:val="16"/>
                                      <w:szCs w:val="20"/>
                                      <w:lang w:val="en-US" w:eastAsia="zh-CN"/>
                                    </w:rPr>
                                    <w:t>厂界</w:t>
                                  </w:r>
                                </w:p>
                                <w:p>
                                  <w:pPr>
                                    <w:rPr>
                                      <w:rFonts w:hint="eastAsia"/>
                                      <w:sz w:val="16"/>
                                      <w:szCs w:val="20"/>
                                      <w:lang w:val="en-US" w:eastAsia="zh-CN"/>
                                    </w:rPr>
                                  </w:pPr>
                                  <w:r>
                                    <w:rPr>
                                      <w:rFonts w:hint="eastAsia"/>
                                      <w:sz w:val="16"/>
                                      <w:szCs w:val="20"/>
                                      <w:lang w:val="en-US" w:eastAsia="zh-CN"/>
                                    </w:rPr>
                                    <w:t>大气评价范围</w:t>
                                  </w:r>
                                </w:p>
                                <w:p>
                                  <w:pPr>
                                    <w:pStyle w:val="2"/>
                                    <w:ind w:left="0" w:leftChars="0" w:firstLine="0" w:firstLineChars="0"/>
                                    <w:rPr>
                                      <w:rFonts w:hint="eastAsia"/>
                                      <w:sz w:val="16"/>
                                      <w:szCs w:val="20"/>
                                      <w:lang w:val="en-US" w:eastAsia="zh-CN"/>
                                    </w:rPr>
                                  </w:pPr>
                                  <w:r>
                                    <w:rPr>
                                      <w:rFonts w:hint="eastAsia"/>
                                      <w:sz w:val="16"/>
                                      <w:szCs w:val="20"/>
                                      <w:lang w:val="en-US" w:eastAsia="zh-CN"/>
                                    </w:rPr>
                                    <w:t>声评价范围</w:t>
                                  </w:r>
                                </w:p>
                                <w:p>
                                  <w:pPr>
                                    <w:rPr>
                                      <w:rFonts w:hint="default"/>
                                      <w:sz w:val="16"/>
                                      <w:szCs w:val="20"/>
                                      <w:lang w:val="en-US" w:eastAsia="zh-CN"/>
                                    </w:rPr>
                                  </w:pPr>
                                  <w:r>
                                    <w:rPr>
                                      <w:rFonts w:hint="eastAsia"/>
                                      <w:sz w:val="16"/>
                                      <w:szCs w:val="20"/>
                                      <w:lang w:val="en-US" w:eastAsia="zh-CN"/>
                                    </w:rPr>
                                    <w:t>敏感目标</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9.7pt;margin-top:289.15pt;height:59.4pt;width:85pt;z-index:251665408;mso-width-relative:page;mso-height-relative:page;" fillcolor="#FFFFFF [3201]" filled="t" stroked="t" coordsize="21600,21600" o:gfxdata="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EQfn/bXAAAACwEAAA8AAAAAAAAA&#10;AQAgAAAAIgAAAGRycy9kb3ducmV2LnhtbFBLAQIUABQAAAAIAIdO4kBFht5oSwIAAHcEAAAOAAAA&#10;AAAAAAEAIAAAACYBAABkcnMvZTJvRG9jLnhtbFBLBQYAAAAABgAGAFkBAADjBQAAAAA=&#10;">
                      <v:fill on="t" focussize="0,0"/>
                      <v:stroke weight="0.5pt" color="#000000 [3204]" joinstyle="round"/>
                      <v:imagedata o:title=""/>
                      <o:lock v:ext="edit" aspectratio="f"/>
                      <v:textbox>
                        <w:txbxContent>
                          <w:p>
                            <w:pPr>
                              <w:jc w:val="center"/>
                              <w:rPr>
                                <w:rFonts w:hint="eastAsia"/>
                                <w:sz w:val="16"/>
                                <w:szCs w:val="20"/>
                                <w:lang w:val="en-US" w:eastAsia="zh-CN"/>
                              </w:rPr>
                            </w:pPr>
                            <w:r>
                              <w:rPr>
                                <w:rFonts w:hint="eastAsia"/>
                                <w:sz w:val="16"/>
                                <w:szCs w:val="20"/>
                                <w:lang w:val="en-US" w:eastAsia="zh-CN"/>
                              </w:rPr>
                              <w:t>图例</w:t>
                            </w:r>
                          </w:p>
                          <w:p>
                            <w:pPr>
                              <w:pStyle w:val="2"/>
                              <w:ind w:left="0" w:leftChars="0" w:firstLine="0" w:firstLineChars="0"/>
                              <w:rPr>
                                <w:rFonts w:hint="eastAsia"/>
                                <w:sz w:val="16"/>
                                <w:szCs w:val="20"/>
                                <w:lang w:val="en-US" w:eastAsia="zh-CN"/>
                              </w:rPr>
                            </w:pPr>
                            <w:r>
                              <w:rPr>
                                <w:rFonts w:hint="eastAsia"/>
                                <w:sz w:val="16"/>
                                <w:szCs w:val="20"/>
                                <w:lang w:val="en-US" w:eastAsia="zh-CN"/>
                              </w:rPr>
                              <w:t>厂界</w:t>
                            </w:r>
                          </w:p>
                          <w:p>
                            <w:pPr>
                              <w:rPr>
                                <w:rFonts w:hint="eastAsia"/>
                                <w:sz w:val="16"/>
                                <w:szCs w:val="20"/>
                                <w:lang w:val="en-US" w:eastAsia="zh-CN"/>
                              </w:rPr>
                            </w:pPr>
                            <w:r>
                              <w:rPr>
                                <w:rFonts w:hint="eastAsia"/>
                                <w:sz w:val="16"/>
                                <w:szCs w:val="20"/>
                                <w:lang w:val="en-US" w:eastAsia="zh-CN"/>
                              </w:rPr>
                              <w:t>大气评价范围</w:t>
                            </w:r>
                          </w:p>
                          <w:p>
                            <w:pPr>
                              <w:pStyle w:val="2"/>
                              <w:ind w:left="0" w:leftChars="0" w:firstLine="0" w:firstLineChars="0"/>
                              <w:rPr>
                                <w:rFonts w:hint="eastAsia"/>
                                <w:sz w:val="16"/>
                                <w:szCs w:val="20"/>
                                <w:lang w:val="en-US" w:eastAsia="zh-CN"/>
                              </w:rPr>
                            </w:pPr>
                            <w:r>
                              <w:rPr>
                                <w:rFonts w:hint="eastAsia"/>
                                <w:sz w:val="16"/>
                                <w:szCs w:val="20"/>
                                <w:lang w:val="en-US" w:eastAsia="zh-CN"/>
                              </w:rPr>
                              <w:t>声评价范围</w:t>
                            </w:r>
                          </w:p>
                          <w:p>
                            <w:pPr>
                              <w:rPr>
                                <w:rFonts w:hint="default"/>
                                <w:sz w:val="16"/>
                                <w:szCs w:val="20"/>
                                <w:lang w:val="en-US" w:eastAsia="zh-CN"/>
                              </w:rPr>
                            </w:pPr>
                            <w:r>
                              <w:rPr>
                                <w:rFonts w:hint="eastAsia"/>
                                <w:sz w:val="16"/>
                                <w:szCs w:val="20"/>
                                <w:lang w:val="en-US" w:eastAsia="zh-CN"/>
                              </w:rPr>
                              <w:t>敏感目标</w:t>
                            </w:r>
                          </w:p>
                        </w:txbxContent>
                      </v:textbox>
                    </v:shape>
                  </w:pict>
                </mc:Fallback>
              </mc:AlternateContent>
            </w:r>
            <w:r>
              <w:rPr>
                <w:rFonts w:hint="eastAsia" w:eastAsia="宋体"/>
                <w:color w:val="auto"/>
                <w:sz w:val="24"/>
                <w:lang w:eastAsia="zh-CN"/>
              </w:rPr>
              <w:drawing>
                <wp:anchor distT="0" distB="0" distL="114300" distR="114300" simplePos="0" relativeHeight="251664384" behindDoc="0" locked="0" layoutInCell="1" allowOverlap="1">
                  <wp:simplePos x="0" y="0"/>
                  <wp:positionH relativeFrom="column">
                    <wp:posOffset>4624705</wp:posOffset>
                  </wp:positionH>
                  <wp:positionV relativeFrom="paragraph">
                    <wp:posOffset>5080</wp:posOffset>
                  </wp:positionV>
                  <wp:extent cx="814705" cy="897890"/>
                  <wp:effectExtent l="0" t="0" r="4445" b="16510"/>
                  <wp:wrapNone/>
                  <wp:docPr id="93" name="图片 6" descr="ccff2cfdb4e5c4eb98dd252b6823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6" descr="ccff2cfdb4e5c4eb98dd252b68231328"/>
                          <pic:cNvPicPr>
                            <a:picLocks noChangeAspect="1"/>
                          </pic:cNvPicPr>
                        </pic:nvPicPr>
                        <pic:blipFill>
                          <a:blip r:embed="rId19"/>
                          <a:stretch>
                            <a:fillRect/>
                          </a:stretch>
                        </pic:blipFill>
                        <pic:spPr>
                          <a:xfrm>
                            <a:off x="0" y="0"/>
                            <a:ext cx="814705" cy="897890"/>
                          </a:xfrm>
                          <a:prstGeom prst="rect">
                            <a:avLst/>
                          </a:prstGeom>
                          <a:noFill/>
                          <a:ln>
                            <a:noFill/>
                          </a:ln>
                        </pic:spPr>
                      </pic:pic>
                    </a:graphicData>
                  </a:graphic>
                </wp:anchor>
              </w:drawing>
            </w:r>
            <w:r>
              <w:drawing>
                <wp:inline distT="0" distB="0" distL="114300" distR="114300">
                  <wp:extent cx="4520565" cy="4287520"/>
                  <wp:effectExtent l="0" t="0" r="13335" b="17780"/>
                  <wp:docPr id="20"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1"/>
                          <pic:cNvPicPr>
                            <a:picLocks noChangeAspect="1"/>
                          </pic:cNvPicPr>
                        </pic:nvPicPr>
                        <pic:blipFill>
                          <a:blip r:embed="rId20"/>
                          <a:stretch>
                            <a:fillRect/>
                          </a:stretch>
                        </pic:blipFill>
                        <pic:spPr>
                          <a:xfrm>
                            <a:off x="0" y="0"/>
                            <a:ext cx="4520565" cy="4287520"/>
                          </a:xfrm>
                          <a:prstGeom prst="rect">
                            <a:avLst/>
                          </a:prstGeom>
                          <a:noFill/>
                          <a:ln>
                            <a:noFill/>
                          </a:ln>
                        </pic:spPr>
                      </pic:pic>
                    </a:graphicData>
                  </a:graphic>
                </wp:inline>
              </w:drawing>
            </w:r>
          </w:p>
          <w:p>
            <w:pPr>
              <w:pStyle w:val="27"/>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cs="Times New Roman"/>
                <w:color w:val="auto"/>
                <w:lang w:val="en-US" w:eastAsia="zh-CN"/>
              </w:rPr>
            </w:pPr>
            <w:r>
              <w:rPr>
                <w:rFonts w:hint="eastAsia"/>
                <w:b/>
                <w:color w:val="auto"/>
                <w:kern w:val="0"/>
                <w:sz w:val="24"/>
                <w:szCs w:val="24"/>
              </w:rPr>
              <w:t>图3-</w:t>
            </w:r>
            <w:r>
              <w:rPr>
                <w:rFonts w:hint="eastAsia"/>
                <w:b/>
                <w:color w:val="auto"/>
                <w:kern w:val="0"/>
                <w:sz w:val="24"/>
                <w:szCs w:val="24"/>
                <w:lang w:val="en-US" w:eastAsia="zh-CN"/>
              </w:rPr>
              <w:t>3</w:t>
            </w:r>
            <w:r>
              <w:rPr>
                <w:rFonts w:hint="eastAsia"/>
                <w:b/>
                <w:color w:val="auto"/>
                <w:kern w:val="0"/>
                <w:sz w:val="24"/>
                <w:szCs w:val="24"/>
              </w:rPr>
              <w:t xml:space="preserve">  环境保护目标分布图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094" w:hRule="atLeast"/>
          <w:jc w:val="center"/>
        </w:trPr>
        <w:tc>
          <w:tcPr>
            <w:tcW w:w="804" w:type="dxa"/>
            <w:noWrap w:val="0"/>
            <w:tcMar>
              <w:left w:w="28" w:type="dxa"/>
              <w:right w:w="28" w:type="dxa"/>
            </w:tcMar>
            <w:vAlign w:val="center"/>
          </w:tcPr>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污染</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物排</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放控</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制标</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Cs w:val="21"/>
              </w:rPr>
              <w:t>准</w:t>
            </w:r>
          </w:p>
        </w:tc>
        <w:tc>
          <w:tcPr>
            <w:tcW w:w="8834" w:type="dxa"/>
            <w:noWrap w:val="0"/>
            <w:vAlign w:val="top"/>
          </w:tcPr>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大气污染物排放标准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FF0000"/>
                <w:sz w:val="24"/>
                <w:szCs w:val="24"/>
                <w:lang w:val="en-US" w:eastAsia="zh-CN"/>
              </w:rPr>
            </w:pPr>
            <w:r>
              <w:rPr>
                <w:rFonts w:hint="default" w:ascii="Times New Roman" w:hAnsi="Times New Roman" w:eastAsia="宋体" w:cs="Times New Roman"/>
                <w:color w:val="auto"/>
                <w:sz w:val="24"/>
                <w:szCs w:val="24"/>
                <w:lang w:val="en-US" w:eastAsia="zh-CN"/>
              </w:rPr>
              <w:t>本项目</w:t>
            </w:r>
            <w:r>
              <w:rPr>
                <w:rFonts w:ascii="Times New Roman" w:hAnsi="Times New Roman" w:cs="Times New Roman"/>
                <w:bCs/>
                <w:color w:val="auto"/>
                <w:kern w:val="0"/>
                <w:sz w:val="24"/>
              </w:rPr>
              <w:t>施工期扬尘</w:t>
            </w:r>
            <w:r>
              <w:rPr>
                <w:rFonts w:hint="eastAsia" w:ascii="Times New Roman" w:hAnsi="Times New Roman" w:cs="Times New Roman"/>
                <w:bCs/>
                <w:color w:val="auto"/>
                <w:kern w:val="0"/>
                <w:sz w:val="24"/>
                <w:lang w:val="en-US" w:eastAsia="zh-CN"/>
              </w:rPr>
              <w:t>及</w:t>
            </w:r>
            <w:r>
              <w:rPr>
                <w:rFonts w:hint="default" w:ascii="Times New Roman" w:hAnsi="Times New Roman" w:eastAsia="宋体" w:cs="Times New Roman"/>
                <w:color w:val="auto"/>
                <w:sz w:val="24"/>
                <w:szCs w:val="24"/>
                <w:lang w:val="en-US" w:eastAsia="zh-CN"/>
              </w:rPr>
              <w:t>运营期</w:t>
            </w:r>
            <w:r>
              <w:rPr>
                <w:rFonts w:hint="eastAsia" w:cs="Times New Roman"/>
                <w:color w:val="auto"/>
                <w:sz w:val="24"/>
                <w:szCs w:val="24"/>
                <w:lang w:val="en-US" w:eastAsia="zh-CN"/>
              </w:rPr>
              <w:t>厂界</w:t>
            </w:r>
            <w:r>
              <w:rPr>
                <w:rFonts w:hint="default" w:ascii="Times New Roman" w:hAnsi="Times New Roman" w:eastAsia="宋体" w:cs="Times New Roman"/>
                <w:color w:val="auto"/>
                <w:sz w:val="24"/>
                <w:szCs w:val="24"/>
                <w:lang w:val="en-US" w:eastAsia="zh-CN"/>
              </w:rPr>
              <w:t>颗粒物无组织排放执行《大气污染物综合排放标准》（GB16297-1996）表2中无组织排放浓度监控限值要求。</w:t>
            </w:r>
            <w:r>
              <w:rPr>
                <w:rFonts w:hint="eastAsia" w:cs="Times New Roman"/>
                <w:color w:val="auto"/>
                <w:sz w:val="24"/>
                <w:szCs w:val="24"/>
                <w:lang w:val="en-US" w:eastAsia="zh-CN"/>
              </w:rPr>
              <w:t>工业炉窑周边执行</w:t>
            </w:r>
            <w:r>
              <w:rPr>
                <w:rFonts w:hint="default" w:ascii="Times New Roman" w:hAnsi="Times New Roman" w:eastAsia="宋体" w:cs="Times New Roman"/>
                <w:color w:val="auto"/>
                <w:sz w:val="24"/>
                <w:szCs w:val="24"/>
                <w:lang w:val="en-US" w:eastAsia="zh-CN"/>
              </w:rPr>
              <w:t>《工业炉窑大气污染物排放标准》（GB9078-1996）</w:t>
            </w:r>
            <w:r>
              <w:rPr>
                <w:rFonts w:hint="eastAsia" w:ascii="Times New Roman" w:hAnsi="Times New Roman" w:eastAsia="宋体" w:cs="Times New Roman"/>
                <w:color w:val="auto"/>
                <w:sz w:val="24"/>
                <w:szCs w:val="24"/>
                <w:lang w:val="en-US" w:eastAsia="zh-CN"/>
              </w:rPr>
              <w:t>中表3标准</w:t>
            </w:r>
          </w:p>
          <w:p>
            <w:pPr>
              <w:pStyle w:val="80"/>
              <w:adjustRightInd/>
              <w:snapToGrid/>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7 无组织废气排放标准</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995"/>
              <w:gridCol w:w="1286"/>
              <w:gridCol w:w="3240"/>
              <w:gridCol w:w="3094"/>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68"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eastAsia="zh-CN"/>
                    </w:rPr>
                    <w:t>排放</w:t>
                  </w:r>
                  <w:r>
                    <w:rPr>
                      <w:rFonts w:hint="eastAsia" w:cs="Times New Roman"/>
                      <w:color w:val="auto"/>
                      <w:lang w:val="en-US" w:eastAsia="zh-CN"/>
                    </w:rPr>
                    <w:t>形式</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排放监控浓度限值</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周界外浓度最高点：</w:t>
                  </w:r>
                  <w:r>
                    <w:rPr>
                      <w:rFonts w:hint="default" w:ascii="Times New Roman" w:hAnsi="Times New Roman" w:eastAsia="宋体" w:cs="Times New Roman"/>
                      <w:color w:val="auto"/>
                      <w:lang w:val="en-US" w:eastAsia="zh-CN"/>
                    </w:rPr>
                    <w:t>1.0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《大气污染物综合排放标准》（GB16297-1996）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94" w:hRule="atLeast"/>
                <w:jc w:val="center"/>
              </w:trPr>
              <w:tc>
                <w:tcPr>
                  <w:tcW w:w="99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颗粒物</w:t>
                  </w:r>
                </w:p>
              </w:tc>
              <w:tc>
                <w:tcPr>
                  <w:tcW w:w="1286"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无组织</w:t>
                  </w:r>
                </w:p>
              </w:tc>
              <w:tc>
                <w:tcPr>
                  <w:tcW w:w="32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eastAsia" w:cs="Times New Roman"/>
                      <w:color w:val="auto"/>
                      <w:lang w:val="en-US" w:eastAsia="zh-CN"/>
                    </w:rPr>
                    <w:t>工业炉窑周边：5.0</w:t>
                  </w:r>
                  <w:r>
                    <w:rPr>
                      <w:rFonts w:hint="default" w:ascii="Times New Roman" w:hAnsi="Times New Roman" w:eastAsia="宋体" w:cs="Times New Roman"/>
                      <w:color w:val="auto"/>
                      <w:lang w:eastAsia="zh-CN"/>
                    </w:rPr>
                    <w:t>mg/m</w:t>
                  </w:r>
                  <w:r>
                    <w:rPr>
                      <w:rFonts w:hint="default" w:ascii="Times New Roman" w:hAnsi="Times New Roman" w:eastAsia="宋体" w:cs="Times New Roman"/>
                      <w:color w:val="auto"/>
                      <w:vertAlign w:val="superscript"/>
                      <w:lang w:eastAsia="zh-CN"/>
                    </w:rPr>
                    <w:t>3</w:t>
                  </w:r>
                </w:p>
              </w:tc>
              <w:tc>
                <w:tcPr>
                  <w:tcW w:w="3094" w:type="dxa"/>
                  <w:tcBorders>
                    <w:tl2br w:val="nil"/>
                    <w:tr2bl w:val="nil"/>
                  </w:tcBorders>
                  <w:noWrap w:val="0"/>
                  <w:vAlign w:val="center"/>
                </w:tcPr>
                <w:p>
                  <w:pPr>
                    <w:pStyle w:val="74"/>
                    <w:adjustRightInd w:val="0"/>
                    <w:snapToGrid w:val="0"/>
                    <w:spacing w:line="240" w:lineRule="auto"/>
                    <w:ind w:firstLine="0" w:firstLineChars="0"/>
                    <w:rPr>
                      <w:rFonts w:hint="eastAsia" w:cs="Times New Roman"/>
                      <w:color w:val="auto"/>
                      <w:lang w:val="en-US" w:eastAsia="zh-CN"/>
                    </w:rPr>
                  </w:pPr>
                  <w:r>
                    <w:rPr>
                      <w:rFonts w:hint="eastAsia" w:cs="Times New Roman"/>
                      <w:color w:val="auto"/>
                      <w:lang w:val="en-US" w:eastAsia="zh-CN"/>
                    </w:rPr>
                    <w:t>《工业炉窑大气污染物排放标准》（GB9078-1996）</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本项目运营期热风炉烟尘、SO</w:t>
            </w:r>
            <w:r>
              <w:rPr>
                <w:rFonts w:hint="default" w:ascii="Times New Roman" w:hAnsi="Times New Roman" w:eastAsia="宋体" w:cs="Times New Roman"/>
                <w:color w:val="auto"/>
                <w:sz w:val="24"/>
                <w:szCs w:val="24"/>
                <w:vertAlign w:val="subscript"/>
                <w:lang w:val="en-US" w:eastAsia="zh-CN"/>
              </w:rPr>
              <w:t>2</w:t>
            </w:r>
            <w:r>
              <w:rPr>
                <w:rFonts w:hint="default" w:ascii="Times New Roman" w:hAnsi="Times New Roman" w:eastAsia="宋体" w:cs="Times New Roman"/>
                <w:color w:val="auto"/>
                <w:sz w:val="24"/>
                <w:szCs w:val="24"/>
                <w:lang w:val="en-US" w:eastAsia="zh-CN"/>
              </w:rPr>
              <w:t>、烟气黑度排放执行《工业炉窑大气污染物排放标准》（GB9078-1996）中表2和表4二级标准。</w:t>
            </w:r>
          </w:p>
          <w:p>
            <w:pPr>
              <w:pStyle w:val="80"/>
              <w:adjustRightInd/>
              <w:snapToGrid/>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表</w:t>
            </w:r>
            <w:r>
              <w:rPr>
                <w:rFonts w:hint="default" w:ascii="Times New Roman" w:hAnsi="Times New Roman" w:eastAsia="宋体" w:cs="Times New Roman"/>
                <w:b/>
                <w:bCs/>
                <w:color w:val="auto"/>
                <w:sz w:val="21"/>
                <w:szCs w:val="21"/>
                <w:lang w:val="en-US" w:eastAsia="zh-CN"/>
              </w:rPr>
              <w:t>3-</w:t>
            </w:r>
            <w:r>
              <w:rPr>
                <w:rFonts w:hint="eastAsia"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 xml:space="preserve"> </w:t>
            </w:r>
            <w:r>
              <w:rPr>
                <w:rFonts w:hint="default" w:ascii="Times New Roman" w:hAnsi="Times New Roman" w:eastAsia="宋体" w:cs="Times New Roman"/>
                <w:b/>
                <w:bCs/>
                <w:color w:val="auto"/>
                <w:sz w:val="21"/>
                <w:szCs w:val="21"/>
              </w:rPr>
              <w:t>《工业炉窑大气污染物排放标准》（GB9078-1996）</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
            <w:tblGrid>
              <w:gridCol w:w="1440"/>
              <w:gridCol w:w="787"/>
              <w:gridCol w:w="4653"/>
              <w:gridCol w:w="173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8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污染物</w:t>
                  </w:r>
                </w:p>
              </w:tc>
              <w:tc>
                <w:tcPr>
                  <w:tcW w:w="787"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排放源</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排放</w:t>
                  </w:r>
                  <w:r>
                    <w:rPr>
                      <w:rFonts w:hint="default" w:ascii="Times New Roman" w:hAnsi="Times New Roman" w:eastAsia="宋体" w:cs="Times New Roman"/>
                      <w:color w:val="auto"/>
                      <w:lang w:eastAsia="zh-CN"/>
                    </w:rPr>
                    <w:t>限值（</w:t>
                  </w:r>
                  <w:r>
                    <w:rPr>
                      <w:rFonts w:hint="default" w:ascii="Times New Roman" w:hAnsi="Times New Roman" w:eastAsia="宋体" w:cs="Times New Roman"/>
                      <w:color w:val="auto"/>
                      <w:lang w:val="en-US" w:eastAsia="zh-CN"/>
                    </w:rPr>
                    <w:t>标准级别：二级</w:t>
                  </w:r>
                  <w:r>
                    <w:rPr>
                      <w:rFonts w:hint="default" w:ascii="Times New Roman" w:hAnsi="Times New Roman" w:eastAsia="宋体" w:cs="Times New Roman"/>
                      <w:color w:val="auto"/>
                      <w:lang w:eastAsia="zh-CN"/>
                    </w:rPr>
                    <w:t>）</w:t>
                  </w:r>
                </w:p>
              </w:tc>
              <w:tc>
                <w:tcPr>
                  <w:tcW w:w="1735"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eastAsia="zh-CN"/>
                    </w:rPr>
                    <w:t>执行标准</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34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颗粒物</w:t>
                  </w:r>
                </w:p>
              </w:tc>
              <w:tc>
                <w:tcPr>
                  <w:tcW w:w="787"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有组织</w:t>
                  </w: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烟（粉）尘浓度：200mg/m</w:t>
                  </w:r>
                  <w:r>
                    <w:rPr>
                      <w:rFonts w:hint="default" w:ascii="Times New Roman" w:hAnsi="Times New Roman" w:eastAsia="宋体" w:cs="Times New Roman"/>
                      <w:color w:val="auto"/>
                      <w:vertAlign w:val="superscript"/>
                      <w:lang w:val="en-US" w:eastAsia="zh-CN"/>
                    </w:rPr>
                    <w:t>3</w:t>
                  </w:r>
                </w:p>
              </w:tc>
              <w:tc>
                <w:tcPr>
                  <w:tcW w:w="1735" w:type="dxa"/>
                  <w:vMerge w:val="restart"/>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《工业炉窑大气污染物排放标准》（GB9078-1996）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193"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（林格曼级）</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窑炉类别：干燥炉、窑</w:t>
                  </w:r>
                </w:p>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烟气黑度：1</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90" w:hRule="atLeast"/>
                <w:jc w:val="center"/>
              </w:trPr>
              <w:tc>
                <w:tcPr>
                  <w:tcW w:w="1440"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二氧化硫</w:t>
                  </w:r>
                </w:p>
              </w:tc>
              <w:tc>
                <w:tcPr>
                  <w:tcW w:w="787"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p>
              </w:tc>
              <w:tc>
                <w:tcPr>
                  <w:tcW w:w="4653" w:type="dxa"/>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窑炉类别：燃煤（油）炉、窑</w:t>
                  </w:r>
                </w:p>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r>
                    <w:rPr>
                      <w:rFonts w:hint="default" w:ascii="Times New Roman" w:hAnsi="Times New Roman" w:eastAsia="宋体" w:cs="Times New Roman"/>
                      <w:color w:val="auto"/>
                      <w:lang w:val="en-US" w:eastAsia="zh-CN"/>
                    </w:rPr>
                    <w:t>二氧化硫排放浓度：850mg/m</w:t>
                  </w:r>
                  <w:r>
                    <w:rPr>
                      <w:rFonts w:hint="default" w:ascii="Times New Roman" w:hAnsi="Times New Roman" w:eastAsia="宋体" w:cs="Times New Roman"/>
                      <w:color w:val="auto"/>
                      <w:vertAlign w:val="superscript"/>
                      <w:lang w:val="en-US" w:eastAsia="zh-CN"/>
                    </w:rPr>
                    <w:t>3</w:t>
                  </w:r>
                </w:p>
              </w:tc>
              <w:tc>
                <w:tcPr>
                  <w:tcW w:w="1735" w:type="dxa"/>
                  <w:vMerge w:val="continue"/>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56" w:type="dxa"/>
                  <w:bottom w:w="0" w:type="dxa"/>
                  <w:right w:w="56" w:type="dxa"/>
                </w:tblCellMar>
              </w:tblPrEx>
              <w:trPr>
                <w:trHeight w:val="0" w:hRule="atLeast"/>
                <w:jc w:val="center"/>
              </w:trPr>
              <w:tc>
                <w:tcPr>
                  <w:tcW w:w="8615" w:type="dxa"/>
                  <w:gridSpan w:val="4"/>
                  <w:tcBorders>
                    <w:tl2br w:val="nil"/>
                    <w:tr2bl w:val="nil"/>
                  </w:tcBorders>
                  <w:noWrap w:val="0"/>
                  <w:vAlign w:val="center"/>
                </w:tcPr>
                <w:p>
                  <w:pPr>
                    <w:pStyle w:val="74"/>
                    <w:adjustRightInd w:val="0"/>
                    <w:snapToGrid w:val="0"/>
                    <w:spacing w:line="240" w:lineRule="auto"/>
                    <w:ind w:firstLine="0" w:firstLineChars="0"/>
                    <w:rPr>
                      <w:rFonts w:hint="default" w:ascii="Times New Roman" w:hAnsi="Times New Roman" w:eastAsia="宋体" w:cs="Times New Roman"/>
                      <w:color w:val="auto"/>
                      <w:lang w:val="en-US" w:eastAsia="zh-CN"/>
                    </w:rPr>
                  </w:pPr>
                  <w:r>
                    <w:rPr>
                      <w:rFonts w:hint="default" w:ascii="Times New Roman" w:hAnsi="Times New Roman" w:eastAsia="宋体" w:cs="Times New Roman"/>
                      <w:color w:val="auto"/>
                      <w:lang w:val="en-US" w:eastAsia="zh-CN"/>
                    </w:rPr>
                    <w:t>烟囱最低允许高度15m</w:t>
                  </w:r>
                </w:p>
              </w:tc>
            </w:tr>
          </w:tbl>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噪声排放标准</w:t>
            </w:r>
          </w:p>
          <w:p>
            <w:pPr>
              <w:adjustRightInd w:val="0"/>
              <w:spacing w:line="360" w:lineRule="auto"/>
              <w:ind w:firstLine="480" w:firstLineChars="200"/>
              <w:textAlignment w:val="baseline"/>
              <w:rPr>
                <w:color w:val="auto"/>
                <w:kern w:val="0"/>
                <w:sz w:val="24"/>
              </w:rPr>
            </w:pPr>
            <w:r>
              <w:rPr>
                <w:color w:val="auto"/>
                <w:kern w:val="0"/>
                <w:sz w:val="24"/>
              </w:rPr>
              <w:t>施工期厂界噪声执行《建筑施工噪声排放标准》</w:t>
            </w:r>
            <w:r>
              <w:rPr>
                <w:rFonts w:hint="eastAsia"/>
                <w:color w:val="auto"/>
                <w:kern w:val="0"/>
                <w:sz w:val="24"/>
                <w:lang w:eastAsia="zh-CN"/>
              </w:rPr>
              <w:t>（</w:t>
            </w:r>
            <w:r>
              <w:rPr>
                <w:color w:val="auto"/>
                <w:kern w:val="0"/>
                <w:sz w:val="24"/>
              </w:rPr>
              <w:t>GB12523-2</w:t>
            </w:r>
            <w:r>
              <w:rPr>
                <w:rFonts w:hint="eastAsia"/>
                <w:color w:val="auto"/>
                <w:kern w:val="0"/>
                <w:sz w:val="24"/>
                <w:lang w:val="en-US" w:eastAsia="zh-CN"/>
              </w:rPr>
              <w:t>025</w:t>
            </w:r>
            <w:r>
              <w:rPr>
                <w:rFonts w:hint="eastAsia"/>
                <w:color w:val="auto"/>
                <w:kern w:val="0"/>
                <w:sz w:val="24"/>
                <w:lang w:eastAsia="zh-CN"/>
              </w:rPr>
              <w:t>）</w:t>
            </w:r>
            <w:r>
              <w:rPr>
                <w:color w:val="auto"/>
                <w:kern w:val="0"/>
                <w:sz w:val="24"/>
              </w:rPr>
              <w:t>，见表3</w:t>
            </w:r>
            <w:r>
              <w:rPr>
                <w:rFonts w:hint="eastAsia"/>
                <w:color w:val="auto"/>
                <w:kern w:val="0"/>
                <w:sz w:val="24"/>
              </w:rPr>
              <w:t>-</w:t>
            </w:r>
            <w:r>
              <w:rPr>
                <w:rFonts w:hint="eastAsia"/>
                <w:color w:val="auto"/>
                <w:kern w:val="0"/>
                <w:sz w:val="24"/>
                <w:lang w:val="en-US" w:eastAsia="zh-CN"/>
              </w:rPr>
              <w:t>9</w:t>
            </w:r>
            <w:r>
              <w:rPr>
                <w:color w:val="auto"/>
                <w:kern w:val="0"/>
                <w:sz w:val="24"/>
              </w:rPr>
              <w:t>。</w:t>
            </w:r>
          </w:p>
          <w:p>
            <w:pPr>
              <w:jc w:val="center"/>
              <w:rPr>
                <w:b/>
                <w:bCs/>
                <w:color w:val="auto"/>
                <w:sz w:val="24"/>
                <w:szCs w:val="32"/>
              </w:rPr>
            </w:pPr>
            <w:r>
              <w:rPr>
                <w:b/>
                <w:bCs/>
                <w:color w:val="auto"/>
                <w:sz w:val="24"/>
                <w:szCs w:val="32"/>
              </w:rPr>
              <w:t>表3</w:t>
            </w:r>
            <w:r>
              <w:rPr>
                <w:rFonts w:hint="eastAsia"/>
                <w:b/>
                <w:bCs/>
                <w:color w:val="auto"/>
                <w:sz w:val="24"/>
                <w:szCs w:val="32"/>
              </w:rPr>
              <w:t>-</w:t>
            </w:r>
            <w:r>
              <w:rPr>
                <w:rFonts w:hint="eastAsia"/>
                <w:b/>
                <w:bCs/>
                <w:color w:val="auto"/>
                <w:sz w:val="24"/>
                <w:szCs w:val="32"/>
                <w:lang w:val="en-US" w:eastAsia="zh-CN"/>
              </w:rPr>
              <w:t>9</w:t>
            </w:r>
            <w:r>
              <w:rPr>
                <w:b/>
                <w:bCs/>
                <w:color w:val="auto"/>
                <w:sz w:val="24"/>
                <w:szCs w:val="32"/>
              </w:rPr>
              <w:t xml:space="preserve"> 建筑施工噪声排放标准  单位：dB(A)</w:t>
            </w:r>
          </w:p>
          <w:tbl>
            <w:tblPr>
              <w:tblStyle w:val="30"/>
              <w:tblW w:w="7938" w:type="dxa"/>
              <w:jc w:val="center"/>
              <w:tblInd w:w="0" w:type="dxa"/>
              <w:tblBorders>
                <w:top w:val="single" w:color="auto" w:sz="12" w:space="0"/>
                <w:left w:val="none" w:color="auto" w:sz="0" w:space="0"/>
                <w:bottom w:val="single" w:color="auto"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
            <w:tblGrid>
              <w:gridCol w:w="4067"/>
              <w:gridCol w:w="3871"/>
            </w:tblGrid>
            <w:tr>
              <w:tblPrEx>
                <w:tblBorders>
                  <w:top w:val="single" w:color="auto" w:sz="12" w:space="0"/>
                  <w:left w:val="none" w:color="auto" w:sz="0" w:space="0"/>
                  <w:bottom w:val="single" w:color="auto"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Ex>
              <w:trPr>
                <w:cantSplit/>
                <w:jc w:val="center"/>
              </w:trPr>
              <w:tc>
                <w:tcPr>
                  <w:tcW w:w="4067" w:type="dxa"/>
                  <w:noWrap w:val="0"/>
                  <w:tcMar>
                    <w:top w:w="17" w:type="dxa"/>
                    <w:left w:w="17" w:type="dxa"/>
                    <w:bottom w:w="0" w:type="dxa"/>
                    <w:right w:w="17" w:type="dxa"/>
                  </w:tcMar>
                  <w:vAlign w:val="center"/>
                </w:tcPr>
                <w:p>
                  <w:pPr>
                    <w:jc w:val="center"/>
                    <w:rPr>
                      <w:color w:val="auto"/>
                      <w:szCs w:val="21"/>
                    </w:rPr>
                  </w:pPr>
                  <w:r>
                    <w:rPr>
                      <w:color w:val="auto"/>
                      <w:szCs w:val="21"/>
                    </w:rPr>
                    <w:t>昼间</w:t>
                  </w:r>
                </w:p>
              </w:tc>
              <w:tc>
                <w:tcPr>
                  <w:tcW w:w="3871" w:type="dxa"/>
                  <w:noWrap w:val="0"/>
                  <w:tcMar>
                    <w:top w:w="17" w:type="dxa"/>
                    <w:left w:w="17" w:type="dxa"/>
                    <w:bottom w:w="0" w:type="dxa"/>
                    <w:right w:w="17" w:type="dxa"/>
                  </w:tcMar>
                  <w:vAlign w:val="center"/>
                </w:tcPr>
                <w:p>
                  <w:pPr>
                    <w:jc w:val="center"/>
                    <w:rPr>
                      <w:color w:val="auto"/>
                      <w:szCs w:val="21"/>
                    </w:rPr>
                  </w:pPr>
                  <w:r>
                    <w:rPr>
                      <w:color w:val="auto"/>
                      <w:szCs w:val="21"/>
                    </w:rPr>
                    <w:t>夜间</w:t>
                  </w:r>
                </w:p>
              </w:tc>
            </w:tr>
            <w:tr>
              <w:tblPrEx>
                <w:tblBorders>
                  <w:top w:val="single" w:color="auto" w:sz="12" w:space="0"/>
                  <w:left w:val="none" w:color="auto" w:sz="0" w:space="0"/>
                  <w:bottom w:val="single" w:color="auto" w:sz="12" w:space="0"/>
                  <w:right w:val="none" w:color="auto" w:sz="0" w:space="0"/>
                  <w:insideH w:val="single" w:color="000000" w:sz="6" w:space="0"/>
                  <w:insideV w:val="single" w:color="000000" w:sz="6" w:space="0"/>
                </w:tblBorders>
                <w:tblLayout w:type="fixed"/>
                <w:tblCellMar>
                  <w:top w:w="0" w:type="dxa"/>
                  <w:left w:w="0" w:type="dxa"/>
                  <w:bottom w:w="0" w:type="dxa"/>
                  <w:right w:w="0" w:type="dxa"/>
                </w:tblCellMar>
              </w:tblPrEx>
              <w:trPr>
                <w:cantSplit/>
                <w:jc w:val="center"/>
              </w:trPr>
              <w:tc>
                <w:tcPr>
                  <w:tcW w:w="4067" w:type="dxa"/>
                  <w:noWrap w:val="0"/>
                  <w:tcMar>
                    <w:top w:w="17" w:type="dxa"/>
                    <w:left w:w="17" w:type="dxa"/>
                    <w:bottom w:w="0" w:type="dxa"/>
                    <w:right w:w="17" w:type="dxa"/>
                  </w:tcMar>
                  <w:vAlign w:val="center"/>
                </w:tcPr>
                <w:p>
                  <w:pPr>
                    <w:jc w:val="center"/>
                    <w:rPr>
                      <w:color w:val="auto"/>
                      <w:szCs w:val="21"/>
                    </w:rPr>
                  </w:pPr>
                  <w:r>
                    <w:rPr>
                      <w:color w:val="auto"/>
                      <w:szCs w:val="21"/>
                    </w:rPr>
                    <w:t>70</w:t>
                  </w:r>
                </w:p>
              </w:tc>
              <w:tc>
                <w:tcPr>
                  <w:tcW w:w="3871" w:type="dxa"/>
                  <w:noWrap w:val="0"/>
                  <w:tcMar>
                    <w:top w:w="17" w:type="dxa"/>
                    <w:left w:w="17" w:type="dxa"/>
                    <w:bottom w:w="0" w:type="dxa"/>
                    <w:right w:w="17" w:type="dxa"/>
                  </w:tcMar>
                  <w:vAlign w:val="center"/>
                </w:tcPr>
                <w:p>
                  <w:pPr>
                    <w:jc w:val="center"/>
                    <w:rPr>
                      <w:color w:val="auto"/>
                      <w:szCs w:val="21"/>
                    </w:rPr>
                  </w:pPr>
                  <w:r>
                    <w:rPr>
                      <w:color w:val="auto"/>
                      <w:szCs w:val="21"/>
                    </w:rPr>
                    <w:t>55</w:t>
                  </w:r>
                </w:p>
              </w:tc>
            </w:tr>
          </w:tbl>
          <w:p>
            <w:pPr>
              <w:adjustRightInd w:val="0"/>
              <w:snapToGrid w:val="0"/>
              <w:spacing w:line="360" w:lineRule="auto"/>
              <w:ind w:firstLine="480" w:firstLineChars="200"/>
              <w:rPr>
                <w:rFonts w:hint="default" w:eastAsia="宋体"/>
                <w:color w:val="auto"/>
                <w:sz w:val="24"/>
                <w:lang w:val="en-US" w:eastAsia="zh-CN"/>
              </w:rPr>
            </w:pPr>
            <w:r>
              <w:rPr>
                <w:color w:val="auto"/>
                <w:sz w:val="24"/>
              </w:rPr>
              <w:t>本项目运营期</w:t>
            </w:r>
            <w:r>
              <w:rPr>
                <w:rFonts w:hint="eastAsia"/>
                <w:color w:val="auto"/>
                <w:sz w:val="24"/>
                <w:lang w:val="en-US" w:eastAsia="zh-CN"/>
              </w:rPr>
              <w:t>厂界北侧、西侧、东侧</w:t>
            </w:r>
            <w:r>
              <w:rPr>
                <w:color w:val="auto"/>
                <w:sz w:val="24"/>
              </w:rPr>
              <w:t>噪声执行《工业企业厂界环境噪声排放标准》</w:t>
            </w:r>
            <w:r>
              <w:rPr>
                <w:rFonts w:hint="eastAsia"/>
                <w:color w:val="auto"/>
                <w:sz w:val="24"/>
                <w:lang w:eastAsia="zh-CN"/>
              </w:rPr>
              <w:t>（</w:t>
            </w:r>
            <w:r>
              <w:rPr>
                <w:color w:val="auto"/>
                <w:sz w:val="24"/>
              </w:rPr>
              <w:t>GB12348-2008</w:t>
            </w:r>
            <w:r>
              <w:rPr>
                <w:rFonts w:hint="eastAsia"/>
                <w:color w:val="auto"/>
                <w:sz w:val="24"/>
                <w:lang w:eastAsia="zh-CN"/>
              </w:rPr>
              <w:t>）</w:t>
            </w:r>
            <w:r>
              <w:rPr>
                <w:color w:val="auto"/>
                <w:sz w:val="24"/>
              </w:rPr>
              <w:t>表1中2类标准</w:t>
            </w:r>
            <w:r>
              <w:rPr>
                <w:rFonts w:hint="eastAsia"/>
                <w:color w:val="auto"/>
                <w:sz w:val="24"/>
                <w:lang w:eastAsia="zh-CN"/>
              </w:rPr>
              <w:t>，</w:t>
            </w:r>
            <w:r>
              <w:rPr>
                <w:rFonts w:hint="eastAsia"/>
                <w:color w:val="auto"/>
                <w:sz w:val="24"/>
                <w:lang w:val="en-US" w:eastAsia="zh-CN"/>
              </w:rPr>
              <w:t>厂界南侧执行</w:t>
            </w:r>
            <w:r>
              <w:rPr>
                <w:color w:val="auto"/>
                <w:sz w:val="24"/>
              </w:rPr>
              <w:t>《工业企业厂界环境噪声排放标准》</w:t>
            </w:r>
            <w:r>
              <w:rPr>
                <w:rFonts w:hint="eastAsia"/>
                <w:color w:val="auto"/>
                <w:sz w:val="24"/>
                <w:lang w:eastAsia="zh-CN"/>
              </w:rPr>
              <w:t>（</w:t>
            </w:r>
            <w:r>
              <w:rPr>
                <w:color w:val="auto"/>
                <w:sz w:val="24"/>
              </w:rPr>
              <w:t>GB12348-2008</w:t>
            </w:r>
            <w:r>
              <w:rPr>
                <w:rFonts w:hint="eastAsia"/>
                <w:color w:val="auto"/>
                <w:sz w:val="24"/>
                <w:lang w:eastAsia="zh-CN"/>
              </w:rPr>
              <w:t>）</w:t>
            </w:r>
            <w:r>
              <w:rPr>
                <w:color w:val="auto"/>
                <w:sz w:val="24"/>
              </w:rPr>
              <w:t>表1中</w:t>
            </w:r>
            <w:r>
              <w:rPr>
                <w:rFonts w:hint="eastAsia"/>
                <w:color w:val="auto"/>
                <w:sz w:val="24"/>
                <w:lang w:val="en-US" w:eastAsia="zh-CN"/>
              </w:rPr>
              <w:t>4</w:t>
            </w:r>
            <w:r>
              <w:rPr>
                <w:color w:val="auto"/>
                <w:sz w:val="24"/>
              </w:rPr>
              <w:t>类标准。</w:t>
            </w:r>
            <w:r>
              <w:rPr>
                <w:rFonts w:hint="eastAsia"/>
                <w:color w:val="auto"/>
                <w:sz w:val="24"/>
                <w:lang w:val="en-US" w:eastAsia="zh-CN"/>
              </w:rPr>
              <w:t>敏感点满足《声环境质量标准》（GB3096-2008）中2类标准。</w:t>
            </w:r>
          </w:p>
          <w:p>
            <w:pPr>
              <w:jc w:val="center"/>
              <w:rPr>
                <w:rFonts w:hint="default" w:eastAsia="宋体"/>
                <w:b/>
                <w:bCs/>
                <w:color w:val="auto"/>
                <w:sz w:val="24"/>
                <w:szCs w:val="32"/>
                <w:lang w:val="en-US" w:eastAsia="zh-CN"/>
              </w:rPr>
            </w:pPr>
            <w:r>
              <w:rPr>
                <w:b/>
                <w:bCs/>
                <w:color w:val="auto"/>
                <w:sz w:val="24"/>
                <w:szCs w:val="32"/>
              </w:rPr>
              <w:t>表</w:t>
            </w:r>
            <w:r>
              <w:rPr>
                <w:rFonts w:hint="eastAsia"/>
                <w:b/>
                <w:bCs/>
                <w:color w:val="auto"/>
                <w:sz w:val="24"/>
                <w:szCs w:val="32"/>
              </w:rPr>
              <w:t>3-</w:t>
            </w:r>
            <w:r>
              <w:rPr>
                <w:b/>
                <w:bCs/>
                <w:color w:val="auto"/>
                <w:sz w:val="24"/>
                <w:szCs w:val="32"/>
              </w:rPr>
              <w:t xml:space="preserve">10 </w:t>
            </w:r>
            <w:r>
              <w:rPr>
                <w:rFonts w:hint="eastAsia"/>
                <w:b/>
                <w:bCs/>
                <w:color w:val="auto"/>
                <w:sz w:val="24"/>
                <w:szCs w:val="32"/>
                <w:lang w:val="en-US" w:eastAsia="zh-CN"/>
              </w:rPr>
              <w:t>噪声排放标准</w:t>
            </w:r>
          </w:p>
          <w:tbl>
            <w:tblPr>
              <w:tblStyle w:val="30"/>
              <w:tblW w:w="8615"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121"/>
              <w:gridCol w:w="1272"/>
              <w:gridCol w:w="12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121" w:type="dxa"/>
                  <w:noWrap w:val="0"/>
                  <w:vAlign w:val="center"/>
                </w:tcPr>
                <w:p>
                  <w:pPr>
                    <w:spacing w:line="320" w:lineRule="exact"/>
                    <w:jc w:val="center"/>
                    <w:rPr>
                      <w:color w:val="auto"/>
                      <w:spacing w:val="5"/>
                      <w:szCs w:val="21"/>
                    </w:rPr>
                  </w:pPr>
                  <w:r>
                    <w:rPr>
                      <w:color w:val="auto"/>
                      <w:spacing w:val="5"/>
                      <w:szCs w:val="21"/>
                    </w:rPr>
                    <w:t>项目</w:t>
                  </w:r>
                </w:p>
              </w:tc>
              <w:tc>
                <w:tcPr>
                  <w:tcW w:w="1272" w:type="dxa"/>
                  <w:noWrap w:val="0"/>
                  <w:vAlign w:val="center"/>
                </w:tcPr>
                <w:p>
                  <w:pPr>
                    <w:spacing w:line="320" w:lineRule="exact"/>
                    <w:jc w:val="center"/>
                    <w:rPr>
                      <w:color w:val="auto"/>
                      <w:spacing w:val="5"/>
                      <w:szCs w:val="21"/>
                    </w:rPr>
                  </w:pPr>
                  <w:r>
                    <w:rPr>
                      <w:color w:val="auto"/>
                      <w:spacing w:val="5"/>
                      <w:szCs w:val="21"/>
                    </w:rPr>
                    <w:t>昼间</w:t>
                  </w:r>
                </w:p>
              </w:tc>
              <w:tc>
                <w:tcPr>
                  <w:tcW w:w="1222" w:type="dxa"/>
                  <w:noWrap w:val="0"/>
                  <w:vAlign w:val="center"/>
                </w:tcPr>
                <w:p>
                  <w:pPr>
                    <w:spacing w:line="320" w:lineRule="exact"/>
                    <w:jc w:val="center"/>
                    <w:rPr>
                      <w:color w:val="auto"/>
                      <w:spacing w:val="5"/>
                      <w:szCs w:val="21"/>
                    </w:rPr>
                  </w:pPr>
                  <w:r>
                    <w:rPr>
                      <w:color w:val="auto"/>
                      <w:spacing w:val="5"/>
                      <w:szCs w:val="21"/>
                    </w:rPr>
                    <w:t>夜间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121" w:type="dxa"/>
                  <w:noWrap w:val="0"/>
                  <w:vAlign w:val="center"/>
                </w:tcPr>
                <w:p>
                  <w:pPr>
                    <w:spacing w:line="320" w:lineRule="exact"/>
                    <w:jc w:val="center"/>
                    <w:rPr>
                      <w:color w:val="auto"/>
                      <w:kern w:val="0"/>
                      <w:szCs w:val="21"/>
                    </w:rPr>
                  </w:pPr>
                  <w:r>
                    <w:rPr>
                      <w:color w:val="auto"/>
                      <w:kern w:val="0"/>
                      <w:szCs w:val="21"/>
                    </w:rPr>
                    <w:t>《工业企业厂界环境噪声排放标准》</w:t>
                  </w:r>
                  <w:r>
                    <w:rPr>
                      <w:rFonts w:hint="eastAsia"/>
                      <w:color w:val="auto"/>
                      <w:kern w:val="0"/>
                      <w:szCs w:val="21"/>
                      <w:lang w:eastAsia="zh-CN"/>
                    </w:rPr>
                    <w:t>（</w:t>
                  </w:r>
                  <w:r>
                    <w:rPr>
                      <w:color w:val="auto"/>
                      <w:kern w:val="0"/>
                      <w:szCs w:val="21"/>
                    </w:rPr>
                    <w:t>GB12348-2008</w:t>
                  </w:r>
                  <w:r>
                    <w:rPr>
                      <w:rFonts w:hint="eastAsia"/>
                      <w:color w:val="auto"/>
                      <w:kern w:val="0"/>
                      <w:szCs w:val="21"/>
                      <w:lang w:eastAsia="zh-CN"/>
                    </w:rPr>
                    <w:t>）</w:t>
                  </w:r>
                  <w:r>
                    <w:rPr>
                      <w:color w:val="auto"/>
                      <w:kern w:val="0"/>
                      <w:szCs w:val="21"/>
                    </w:rPr>
                    <w:t>表1中2类标准</w:t>
                  </w:r>
                </w:p>
              </w:tc>
              <w:tc>
                <w:tcPr>
                  <w:tcW w:w="1272" w:type="dxa"/>
                  <w:noWrap w:val="0"/>
                  <w:vAlign w:val="center"/>
                </w:tcPr>
                <w:p>
                  <w:pPr>
                    <w:spacing w:line="320" w:lineRule="exact"/>
                    <w:jc w:val="center"/>
                    <w:rPr>
                      <w:color w:val="auto"/>
                      <w:spacing w:val="5"/>
                      <w:szCs w:val="21"/>
                    </w:rPr>
                  </w:pPr>
                  <w:r>
                    <w:rPr>
                      <w:rFonts w:hint="eastAsia"/>
                      <w:color w:val="auto"/>
                      <w:spacing w:val="5"/>
                      <w:szCs w:val="21"/>
                    </w:rPr>
                    <w:t>6</w:t>
                  </w:r>
                  <w:r>
                    <w:rPr>
                      <w:color w:val="auto"/>
                      <w:spacing w:val="5"/>
                      <w:szCs w:val="21"/>
                    </w:rPr>
                    <w:t>0dB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c>
                <w:tcPr>
                  <w:tcW w:w="1222" w:type="dxa"/>
                  <w:noWrap w:val="0"/>
                  <w:vAlign w:val="center"/>
                </w:tcPr>
                <w:p>
                  <w:pPr>
                    <w:spacing w:line="320" w:lineRule="exact"/>
                    <w:jc w:val="center"/>
                    <w:rPr>
                      <w:color w:val="auto"/>
                      <w:spacing w:val="5"/>
                      <w:szCs w:val="21"/>
                    </w:rPr>
                  </w:pPr>
                  <w:r>
                    <w:rPr>
                      <w:rFonts w:hint="eastAsia"/>
                      <w:color w:val="auto"/>
                      <w:spacing w:val="5"/>
                      <w:szCs w:val="21"/>
                    </w:rPr>
                    <w:t>5</w:t>
                  </w:r>
                  <w:r>
                    <w:rPr>
                      <w:color w:val="auto"/>
                      <w:spacing w:val="5"/>
                      <w:szCs w:val="21"/>
                    </w:rPr>
                    <w:t>0dB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121" w:type="dxa"/>
                  <w:shd w:val="clear" w:color="auto" w:fill="auto"/>
                  <w:noWrap w:val="0"/>
                  <w:vAlign w:val="center"/>
                </w:tcPr>
                <w:p>
                  <w:pPr>
                    <w:spacing w:line="320" w:lineRule="exact"/>
                    <w:jc w:val="center"/>
                    <w:rPr>
                      <w:rFonts w:ascii="Times New Roman" w:hAnsi="Times New Roman" w:eastAsia="宋体" w:cs="Times New Roman"/>
                      <w:color w:val="auto"/>
                      <w:kern w:val="0"/>
                      <w:sz w:val="21"/>
                      <w:szCs w:val="21"/>
                      <w:lang w:val="en-US" w:eastAsia="zh-CN" w:bidi="ar-SA"/>
                    </w:rPr>
                  </w:pPr>
                  <w:r>
                    <w:rPr>
                      <w:color w:val="auto"/>
                      <w:kern w:val="0"/>
                      <w:szCs w:val="21"/>
                    </w:rPr>
                    <w:t>《工业企业厂界环境噪声排放标准》</w:t>
                  </w:r>
                  <w:r>
                    <w:rPr>
                      <w:rFonts w:hint="eastAsia"/>
                      <w:color w:val="auto"/>
                      <w:kern w:val="0"/>
                      <w:szCs w:val="21"/>
                      <w:lang w:eastAsia="zh-CN"/>
                    </w:rPr>
                    <w:t>（</w:t>
                  </w:r>
                  <w:r>
                    <w:rPr>
                      <w:color w:val="auto"/>
                      <w:kern w:val="0"/>
                      <w:szCs w:val="21"/>
                    </w:rPr>
                    <w:t>GB12348-2008</w:t>
                  </w:r>
                  <w:r>
                    <w:rPr>
                      <w:rFonts w:hint="eastAsia"/>
                      <w:color w:val="auto"/>
                      <w:kern w:val="0"/>
                      <w:szCs w:val="21"/>
                      <w:lang w:eastAsia="zh-CN"/>
                    </w:rPr>
                    <w:t>）</w:t>
                  </w:r>
                  <w:r>
                    <w:rPr>
                      <w:color w:val="auto"/>
                      <w:kern w:val="0"/>
                      <w:szCs w:val="21"/>
                    </w:rPr>
                    <w:t>表1中</w:t>
                  </w:r>
                  <w:r>
                    <w:rPr>
                      <w:rFonts w:hint="eastAsia"/>
                      <w:color w:val="auto"/>
                      <w:kern w:val="0"/>
                      <w:szCs w:val="21"/>
                      <w:lang w:val="en-US" w:eastAsia="zh-CN"/>
                    </w:rPr>
                    <w:t>4</w:t>
                  </w:r>
                  <w:r>
                    <w:rPr>
                      <w:color w:val="auto"/>
                      <w:kern w:val="0"/>
                      <w:szCs w:val="21"/>
                    </w:rPr>
                    <w:t>类标准</w:t>
                  </w:r>
                </w:p>
              </w:tc>
              <w:tc>
                <w:tcPr>
                  <w:tcW w:w="1272" w:type="dxa"/>
                  <w:noWrap w:val="0"/>
                  <w:vAlign w:val="center"/>
                </w:tcPr>
                <w:p>
                  <w:pPr>
                    <w:spacing w:line="320" w:lineRule="exact"/>
                    <w:jc w:val="center"/>
                    <w:rPr>
                      <w:rFonts w:hint="eastAsia"/>
                      <w:color w:val="auto"/>
                      <w:spacing w:val="5"/>
                      <w:szCs w:val="21"/>
                    </w:rPr>
                  </w:pPr>
                  <w:r>
                    <w:rPr>
                      <w:rFonts w:hint="eastAsia"/>
                      <w:color w:val="auto"/>
                      <w:spacing w:val="5"/>
                      <w:szCs w:val="21"/>
                      <w:lang w:val="en-US" w:eastAsia="zh-CN"/>
                    </w:rPr>
                    <w:t>7</w:t>
                  </w:r>
                  <w:r>
                    <w:rPr>
                      <w:color w:val="auto"/>
                      <w:spacing w:val="5"/>
                      <w:szCs w:val="21"/>
                    </w:rPr>
                    <w:t>0dB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c>
                <w:tcPr>
                  <w:tcW w:w="1222" w:type="dxa"/>
                  <w:noWrap w:val="0"/>
                  <w:vAlign w:val="center"/>
                </w:tcPr>
                <w:p>
                  <w:pPr>
                    <w:spacing w:line="320" w:lineRule="exact"/>
                    <w:jc w:val="center"/>
                    <w:rPr>
                      <w:rFonts w:hint="eastAsia"/>
                      <w:color w:val="auto"/>
                      <w:spacing w:val="5"/>
                      <w:szCs w:val="21"/>
                    </w:rPr>
                  </w:pPr>
                  <w:r>
                    <w:rPr>
                      <w:rFonts w:hint="eastAsia"/>
                      <w:color w:val="auto"/>
                      <w:spacing w:val="5"/>
                      <w:szCs w:val="21"/>
                    </w:rPr>
                    <w:t>5</w:t>
                  </w:r>
                  <w:r>
                    <w:rPr>
                      <w:rFonts w:hint="eastAsia"/>
                      <w:color w:val="auto"/>
                      <w:spacing w:val="5"/>
                      <w:szCs w:val="21"/>
                      <w:lang w:val="en-US" w:eastAsia="zh-CN"/>
                    </w:rPr>
                    <w:t>5</w:t>
                  </w:r>
                  <w:r>
                    <w:rPr>
                      <w:color w:val="auto"/>
                      <w:spacing w:val="5"/>
                      <w:szCs w:val="21"/>
                    </w:rPr>
                    <w:t>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121" w:type="dxa"/>
                  <w:noWrap w:val="0"/>
                  <w:vAlign w:val="center"/>
                </w:tcPr>
                <w:p>
                  <w:pPr>
                    <w:spacing w:line="320" w:lineRule="exact"/>
                    <w:jc w:val="center"/>
                    <w:rPr>
                      <w:rFonts w:ascii="Times New Roman" w:hAnsi="Times New Roman" w:eastAsia="宋体" w:cs="Times New Roman"/>
                      <w:color w:val="auto"/>
                      <w:kern w:val="0"/>
                      <w:szCs w:val="21"/>
                    </w:rPr>
                  </w:pPr>
                  <w:r>
                    <w:rPr>
                      <w:rFonts w:hint="eastAsia" w:ascii="Times New Roman" w:hAnsi="Times New Roman" w:eastAsia="宋体" w:cs="Times New Roman"/>
                      <w:color w:val="auto"/>
                      <w:kern w:val="0"/>
                      <w:szCs w:val="21"/>
                      <w:lang w:val="en-US" w:eastAsia="zh-CN"/>
                    </w:rPr>
                    <w:t>《声环境质量标准》（GB3096-2008）中2类标准</w:t>
                  </w:r>
                </w:p>
              </w:tc>
              <w:tc>
                <w:tcPr>
                  <w:tcW w:w="1272" w:type="dxa"/>
                  <w:noWrap w:val="0"/>
                  <w:vAlign w:val="center"/>
                </w:tcPr>
                <w:p>
                  <w:pPr>
                    <w:spacing w:line="320" w:lineRule="exact"/>
                    <w:jc w:val="center"/>
                    <w:rPr>
                      <w:rFonts w:hint="default" w:eastAsia="宋体"/>
                      <w:color w:val="auto"/>
                      <w:spacing w:val="5"/>
                      <w:szCs w:val="21"/>
                      <w:lang w:val="en-US" w:eastAsia="zh-CN"/>
                    </w:rPr>
                  </w:pPr>
                  <w:r>
                    <w:rPr>
                      <w:rFonts w:hint="eastAsia"/>
                      <w:color w:val="auto"/>
                      <w:spacing w:val="5"/>
                      <w:szCs w:val="21"/>
                    </w:rPr>
                    <w:t>6</w:t>
                  </w:r>
                  <w:r>
                    <w:rPr>
                      <w:color w:val="auto"/>
                      <w:spacing w:val="5"/>
                      <w:szCs w:val="21"/>
                    </w:rPr>
                    <w:t>0dB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c>
                <w:tcPr>
                  <w:tcW w:w="1222" w:type="dxa"/>
                  <w:noWrap w:val="0"/>
                  <w:vAlign w:val="center"/>
                </w:tcPr>
                <w:p>
                  <w:pPr>
                    <w:spacing w:line="320" w:lineRule="exact"/>
                    <w:jc w:val="center"/>
                    <w:rPr>
                      <w:rFonts w:hint="eastAsia"/>
                      <w:color w:val="auto"/>
                      <w:spacing w:val="5"/>
                      <w:szCs w:val="21"/>
                    </w:rPr>
                  </w:pPr>
                  <w:r>
                    <w:rPr>
                      <w:rFonts w:hint="eastAsia"/>
                      <w:color w:val="auto"/>
                      <w:spacing w:val="5"/>
                      <w:szCs w:val="21"/>
                    </w:rPr>
                    <w:t>5</w:t>
                  </w:r>
                  <w:r>
                    <w:rPr>
                      <w:color w:val="auto"/>
                      <w:spacing w:val="5"/>
                      <w:szCs w:val="21"/>
                    </w:rPr>
                    <w:t>0dB</w:t>
                  </w:r>
                  <w:r>
                    <w:rPr>
                      <w:rFonts w:hint="eastAsia"/>
                      <w:color w:val="auto"/>
                      <w:spacing w:val="5"/>
                      <w:szCs w:val="21"/>
                      <w:lang w:eastAsia="zh-CN"/>
                    </w:rPr>
                    <w:t>(</w:t>
                  </w:r>
                  <w:r>
                    <w:rPr>
                      <w:color w:val="auto"/>
                      <w:spacing w:val="5"/>
                      <w:szCs w:val="21"/>
                    </w:rPr>
                    <w:t>A</w:t>
                  </w:r>
                  <w:r>
                    <w:rPr>
                      <w:rFonts w:hint="eastAsia"/>
                      <w:color w:val="auto"/>
                      <w:spacing w:val="5"/>
                      <w:szCs w:val="21"/>
                      <w:lang w:eastAsia="zh-CN"/>
                    </w:rPr>
                    <w:t>)</w:t>
                  </w:r>
                </w:p>
              </w:tc>
            </w:tr>
          </w:tbl>
          <w:p>
            <w:pPr>
              <w:keepNext w:val="0"/>
              <w:keepLines w:val="0"/>
              <w:pageBreakBefore w:val="0"/>
              <w:widowControl w:val="0"/>
              <w:numPr>
                <w:ilvl w:val="0"/>
                <w:numId w:val="5"/>
              </w:numPr>
              <w:kinsoku/>
              <w:wordWrap/>
              <w:overflowPunct/>
              <w:topLinePunct w:val="0"/>
              <w:autoSpaceDE/>
              <w:autoSpaceDN/>
              <w:bidi w:val="0"/>
              <w:adjustRightInd w:val="0"/>
              <w:snapToGrid w:val="0"/>
              <w:spacing w:line="360" w:lineRule="auto"/>
              <w:ind w:firstLine="482" w:firstLineChars="200"/>
              <w:jc w:val="both"/>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固体废物排放标准</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80" w:firstLineChars="200"/>
              <w:jc w:val="left"/>
              <w:textAlignment w:val="auto"/>
              <w:rPr>
                <w:rFonts w:hint="default" w:ascii="Times New Roman" w:hAnsi="Times New Roman" w:cs="Times New Roman"/>
                <w:color w:val="auto"/>
                <w:lang w:val="en-US" w:eastAsia="zh-CN"/>
              </w:rPr>
            </w:pPr>
            <w:r>
              <w:rPr>
                <w:rFonts w:hint="default" w:ascii="Times New Roman" w:hAnsi="Times New Roman" w:eastAsia="宋体" w:cs="Times New Roman"/>
                <w:color w:val="auto"/>
                <w:sz w:val="24"/>
                <w:szCs w:val="24"/>
                <w:lang w:val="en-US" w:eastAsia="zh-CN"/>
              </w:rPr>
              <w:t>本项目运营期一般固体废物执行《一般工业固体废物贮存和填埋污染控制标准》（GB 18599-2020）</w:t>
            </w:r>
            <w:r>
              <w:rPr>
                <w:rFonts w:hint="eastAsia" w:ascii="Times New Roman" w:hAnsi="Times New Roman" w:eastAsia="宋体" w:cs="Times New Roman"/>
                <w:color w:val="auto"/>
                <w:sz w:val="24"/>
                <w:szCs w:val="24"/>
                <w:lang w:val="en-US" w:eastAsia="zh-CN"/>
              </w:rPr>
              <w:t>；《一般固体废物分类与代码》（GB/T39198-2020）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267" w:hRule="atLeast"/>
          <w:jc w:val="center"/>
        </w:trPr>
        <w:tc>
          <w:tcPr>
            <w:tcW w:w="804" w:type="dxa"/>
            <w:noWrap w:val="0"/>
            <w:vAlign w:val="center"/>
          </w:tcPr>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总量</w:t>
            </w:r>
          </w:p>
          <w:p>
            <w:pPr>
              <w:adjustRightInd w:val="0"/>
              <w:snapToGrid w:val="0"/>
              <w:jc w:val="center"/>
              <w:rPr>
                <w:rFonts w:hint="default" w:ascii="Times New Roman" w:hAnsi="Times New Roman" w:cs="Times New Roman"/>
                <w:color w:val="auto"/>
                <w:kern w:val="0"/>
                <w:sz w:val="24"/>
                <w:szCs w:val="24"/>
              </w:rPr>
            </w:pPr>
            <w:r>
              <w:rPr>
                <w:rFonts w:hint="default" w:ascii="Times New Roman" w:hAnsi="Times New Roman" w:cs="Times New Roman"/>
                <w:color w:val="auto"/>
                <w:kern w:val="0"/>
                <w:sz w:val="24"/>
                <w:szCs w:val="24"/>
              </w:rPr>
              <w:t>控制</w:t>
            </w:r>
          </w:p>
          <w:p>
            <w:pPr>
              <w:adjustRightInd w:val="0"/>
              <w:snapToGrid w:val="0"/>
              <w:jc w:val="center"/>
              <w:rPr>
                <w:rFonts w:hint="default" w:ascii="Times New Roman" w:hAnsi="Times New Roman" w:cs="Times New Roman"/>
                <w:color w:val="auto"/>
                <w:kern w:val="0"/>
                <w:szCs w:val="21"/>
              </w:rPr>
            </w:pPr>
            <w:r>
              <w:rPr>
                <w:rFonts w:hint="default" w:ascii="Times New Roman" w:hAnsi="Times New Roman" w:cs="Times New Roman"/>
                <w:color w:val="auto"/>
                <w:kern w:val="0"/>
                <w:sz w:val="24"/>
                <w:szCs w:val="24"/>
              </w:rPr>
              <w:t>指标</w:t>
            </w:r>
          </w:p>
        </w:tc>
        <w:tc>
          <w:tcPr>
            <w:tcW w:w="8834" w:type="dxa"/>
            <w:noWrap w:val="0"/>
            <w:vAlign w:val="top"/>
          </w:tcPr>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FF0000"/>
                <w:sz w:val="24"/>
                <w:szCs w:val="24"/>
                <w:lang w:val="en-US" w:eastAsia="zh-CN"/>
              </w:rPr>
            </w:pPr>
            <w:r>
              <w:rPr>
                <w:rFonts w:hint="eastAsia" w:cs="Times New Roman"/>
                <w:color w:val="auto"/>
                <w:sz w:val="24"/>
                <w:szCs w:val="24"/>
                <w:lang w:val="en-US" w:eastAsia="zh-CN"/>
              </w:rPr>
              <w:t>根据《关于印发〈“十五五” 污染减排工作方案编制技术指南〉的通知》，大气总量指标为NOx和VOCs，水污染物总量指标为COD、总磷。</w:t>
            </w:r>
            <w:r>
              <w:rPr>
                <w:rFonts w:hint="default" w:ascii="Times New Roman" w:hAnsi="Times New Roman" w:eastAsia="宋体" w:cs="Times New Roman"/>
                <w:color w:val="auto"/>
                <w:sz w:val="24"/>
                <w:szCs w:val="24"/>
                <w:lang w:val="en-US" w:eastAsia="zh-CN"/>
              </w:rPr>
              <w:t>本项目</w:t>
            </w:r>
            <w:r>
              <w:rPr>
                <w:rFonts w:hint="eastAsia" w:cs="Times New Roman"/>
                <w:color w:val="auto"/>
                <w:sz w:val="24"/>
                <w:szCs w:val="24"/>
                <w:lang w:val="en-US" w:eastAsia="zh-CN"/>
              </w:rPr>
              <w:t>涉及的总量控制指标为NOx，</w:t>
            </w:r>
            <w:r>
              <w:rPr>
                <w:rFonts w:hint="default" w:ascii="Times New Roman" w:hAnsi="Times New Roman" w:eastAsia="宋体" w:cs="Times New Roman"/>
                <w:color w:val="auto"/>
                <w:sz w:val="24"/>
                <w:szCs w:val="24"/>
                <w:lang w:val="en-US" w:eastAsia="zh-CN"/>
              </w:rPr>
              <w:t>总量控制指标见下表。</w:t>
            </w:r>
          </w:p>
          <w:p>
            <w:pPr>
              <w:pStyle w:val="80"/>
              <w:adjustRightInd/>
              <w:snapToGrid/>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b/>
                <w:bCs/>
                <w:color w:val="auto"/>
                <w:sz w:val="24"/>
                <w:szCs w:val="24"/>
                <w:highlight w:val="none"/>
                <w:lang w:val="en-US" w:eastAsia="zh-CN"/>
              </w:rPr>
              <w:t>表3-11 本项目总量控制指标情况表  单位：t/a</w:t>
            </w:r>
          </w:p>
          <w:tbl>
            <w:tblPr>
              <w:tblStyle w:val="31"/>
              <w:tblW w:w="861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321"/>
              <w:gridCol w:w="429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21"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w:t>
                  </w:r>
                </w:p>
              </w:tc>
              <w:tc>
                <w:tcPr>
                  <w:tcW w:w="4295"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预测排放量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jc w:val="center"/>
              </w:trPr>
              <w:tc>
                <w:tcPr>
                  <w:tcW w:w="4321" w:type="dxa"/>
                  <w:tcBorders>
                    <w:tl2br w:val="nil"/>
                    <w:tr2bl w:val="nil"/>
                  </w:tcBorders>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氮氧化物</w:t>
                  </w:r>
                </w:p>
              </w:tc>
              <w:tc>
                <w:tcPr>
                  <w:tcW w:w="4295"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kern w:val="2"/>
                      <w:sz w:val="21"/>
                      <w:szCs w:val="21"/>
                      <w:lang w:val="en-US" w:eastAsia="zh-CN" w:bidi="ar"/>
                    </w:rPr>
                    <w:t>0.849</w:t>
                  </w:r>
                </w:p>
              </w:tc>
            </w:tr>
          </w:tbl>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根据《排污许可证申请与核发技术规范 工业炉窑》（HJ1121—2020），</w:t>
            </w:r>
            <w:r>
              <w:rPr>
                <w:rFonts w:hint="default" w:ascii="Times New Roman" w:hAnsi="Times New Roman" w:eastAsia="宋体" w:cs="Times New Roman"/>
                <w:color w:val="auto"/>
                <w:sz w:val="24"/>
                <w:szCs w:val="24"/>
                <w:lang w:val="en-US" w:eastAsia="zh-CN"/>
              </w:rPr>
              <w:t>耐火材料窑烟囱、石灰窑烟囱许可污染物排放浓度和排放量，其他废气有组织排放口、废气无组织排放仅许可排放浓度，原则上废水不作许可排放限值要求。</w:t>
            </w:r>
            <w:r>
              <w:rPr>
                <w:rFonts w:hint="eastAsia" w:ascii="Times New Roman" w:hAnsi="Times New Roman" w:eastAsia="宋体" w:cs="Times New Roman"/>
                <w:color w:val="auto"/>
                <w:sz w:val="24"/>
                <w:szCs w:val="24"/>
                <w:lang w:val="en-US" w:eastAsia="zh-CN"/>
              </w:rPr>
              <w:t>原有项目无许可排放量。</w:t>
            </w:r>
          </w:p>
          <w:p>
            <w:pPr>
              <w:autoSpaceDE w:val="0"/>
              <w:autoSpaceDN w:val="0"/>
              <w:adjustRightInd w:val="0"/>
              <w:snapToGrid w:val="0"/>
              <w:jc w:val="center"/>
              <w:rPr>
                <w:rFonts w:hint="default" w:ascii="Times New Roman" w:hAnsi="Times New Roman" w:eastAsia="宋体" w:cs="Times New Roman"/>
                <w:b/>
                <w:bCs/>
                <w:color w:val="auto"/>
                <w:kern w:val="0"/>
                <w:sz w:val="24"/>
                <w:szCs w:val="24"/>
                <w:lang w:val="en-US" w:eastAsia="zh-CN" w:bidi="ar-SA"/>
              </w:rPr>
            </w:pPr>
            <w:r>
              <w:rPr>
                <w:rFonts w:hint="default" w:ascii="Times New Roman" w:hAnsi="Times New Roman" w:eastAsia="宋体" w:cs="Times New Roman"/>
                <w:b/>
                <w:bCs/>
                <w:color w:val="auto"/>
                <w:kern w:val="0"/>
                <w:sz w:val="24"/>
                <w:szCs w:val="24"/>
                <w:lang w:val="en-US" w:eastAsia="zh-CN" w:bidi="ar-SA"/>
              </w:rPr>
              <w:t>表3-</w:t>
            </w:r>
            <w:r>
              <w:rPr>
                <w:rFonts w:hint="eastAsia" w:ascii="Times New Roman" w:hAnsi="Times New Roman" w:eastAsia="宋体" w:cs="Times New Roman"/>
                <w:b/>
                <w:bCs/>
                <w:color w:val="auto"/>
                <w:kern w:val="0"/>
                <w:sz w:val="24"/>
                <w:szCs w:val="24"/>
                <w:lang w:val="en-US" w:eastAsia="zh-CN" w:bidi="ar-SA"/>
              </w:rPr>
              <w:t>12</w:t>
            </w:r>
            <w:r>
              <w:rPr>
                <w:rFonts w:hint="default" w:ascii="Times New Roman" w:hAnsi="Times New Roman" w:eastAsia="宋体" w:cs="Times New Roman"/>
                <w:b/>
                <w:bCs/>
                <w:color w:val="auto"/>
                <w:kern w:val="0"/>
                <w:sz w:val="24"/>
                <w:szCs w:val="24"/>
                <w:lang w:val="en-US" w:eastAsia="zh-CN" w:bidi="ar-SA"/>
              </w:rPr>
              <w:t xml:space="preserve">  项目实施前后“</w:t>
            </w:r>
            <w:r>
              <w:rPr>
                <w:rFonts w:hint="eastAsia" w:cs="Times New Roman"/>
                <w:b/>
                <w:bCs/>
                <w:color w:val="auto"/>
                <w:kern w:val="0"/>
                <w:sz w:val="24"/>
                <w:szCs w:val="24"/>
                <w:lang w:val="en-US" w:eastAsia="zh-CN" w:bidi="ar-SA"/>
              </w:rPr>
              <w:t>三本账</w:t>
            </w:r>
            <w:r>
              <w:rPr>
                <w:rFonts w:hint="default" w:ascii="Times New Roman" w:hAnsi="Times New Roman" w:eastAsia="宋体" w:cs="Times New Roman"/>
                <w:b/>
                <w:bCs/>
                <w:color w:val="auto"/>
                <w:kern w:val="0"/>
                <w:sz w:val="24"/>
                <w:szCs w:val="24"/>
                <w:lang w:val="en-US" w:eastAsia="zh-CN" w:bidi="ar-SA"/>
              </w:rPr>
              <w:t>”            单位：t/a</w:t>
            </w:r>
          </w:p>
          <w:tbl>
            <w:tblPr>
              <w:tblStyle w:val="30"/>
              <w:tblW w:w="8615"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062"/>
              <w:gridCol w:w="1233"/>
              <w:gridCol w:w="1233"/>
              <w:gridCol w:w="1488"/>
              <w:gridCol w:w="1295"/>
              <w:gridCol w:w="156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jc w:val="center"/>
              </w:trPr>
              <w:tc>
                <w:tcPr>
                  <w:tcW w:w="737"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项目</w:t>
                  </w:r>
                </w:p>
              </w:tc>
              <w:tc>
                <w:tcPr>
                  <w:tcW w:w="1062"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污染物</w:t>
                  </w:r>
                </w:p>
              </w:tc>
              <w:tc>
                <w:tcPr>
                  <w:tcW w:w="1233" w:type="dxa"/>
                  <w:noWrap w:val="0"/>
                  <w:vAlign w:val="center"/>
                </w:tcPr>
                <w:p>
                  <w:pPr>
                    <w:adjustRightInd w:val="0"/>
                    <w:snapToGrid w:val="0"/>
                    <w:jc w:val="center"/>
                    <w:rPr>
                      <w:rFonts w:hint="default" w:ascii="Times New Roman" w:hAnsi="Times New Roman" w:eastAsia="宋体" w:cs="Times New Roman"/>
                      <w:bCs/>
                      <w:color w:val="auto"/>
                      <w:szCs w:val="21"/>
                      <w:highlight w:val="none"/>
                      <w:lang w:val="en-US" w:eastAsia="zh-CN"/>
                    </w:rPr>
                  </w:pPr>
                  <w:r>
                    <w:rPr>
                      <w:rFonts w:hint="eastAsia" w:cs="Times New Roman"/>
                      <w:bCs/>
                      <w:color w:val="auto"/>
                      <w:szCs w:val="21"/>
                      <w:highlight w:val="none"/>
                      <w:lang w:val="en-US" w:eastAsia="zh-CN"/>
                    </w:rPr>
                    <w:t>原有项目实际排放量</w:t>
                  </w:r>
                </w:p>
              </w:tc>
              <w:tc>
                <w:tcPr>
                  <w:tcW w:w="1233"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本项目预测排放量</w:t>
                  </w:r>
                </w:p>
              </w:tc>
              <w:tc>
                <w:tcPr>
                  <w:tcW w:w="1488"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以新带老消减量</w:t>
                  </w:r>
                </w:p>
              </w:tc>
              <w:tc>
                <w:tcPr>
                  <w:tcW w:w="1295"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总排放量</w:t>
                  </w:r>
                </w:p>
              </w:tc>
              <w:tc>
                <w:tcPr>
                  <w:tcW w:w="1567"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增减量</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737" w:type="dxa"/>
                  <w:vMerge w:val="restart"/>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废气</w:t>
                  </w:r>
                </w:p>
              </w:tc>
              <w:tc>
                <w:tcPr>
                  <w:tcW w:w="1062" w:type="dxa"/>
                  <w:noWrap w:val="0"/>
                  <w:vAlign w:val="center"/>
                </w:tcPr>
                <w:p>
                  <w:pPr>
                    <w:adjustRightInd w:val="0"/>
                    <w:snapToGrid w:val="0"/>
                    <w:jc w:val="center"/>
                    <w:rPr>
                      <w:rFonts w:hint="default" w:ascii="Times New Roman" w:hAnsi="Times New Roman" w:eastAsia="宋体" w:cs="Times New Roman"/>
                      <w:bCs/>
                      <w:color w:val="auto"/>
                      <w:szCs w:val="21"/>
                      <w:highlight w:val="none"/>
                      <w:lang w:eastAsia="zh-CN"/>
                    </w:rPr>
                  </w:pPr>
                  <w:r>
                    <w:rPr>
                      <w:rFonts w:hint="default" w:ascii="Times New Roman" w:hAnsi="Times New Roman" w:eastAsia="宋体" w:cs="Times New Roman"/>
                      <w:bCs/>
                      <w:color w:val="auto"/>
                      <w:szCs w:val="21"/>
                      <w:highlight w:val="none"/>
                      <w:lang w:val="en-US" w:eastAsia="zh-CN"/>
                    </w:rPr>
                    <w:t>颗粒物</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0.045</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1.471</w:t>
                  </w:r>
                </w:p>
              </w:tc>
              <w:tc>
                <w:tcPr>
                  <w:tcW w:w="14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0.045</w:t>
                  </w:r>
                </w:p>
              </w:tc>
              <w:tc>
                <w:tcPr>
                  <w:tcW w:w="1295"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1.471</w:t>
                  </w:r>
                </w:p>
              </w:tc>
              <w:tc>
                <w:tcPr>
                  <w:tcW w:w="1567" w:type="dxa"/>
                  <w:noWrap w:val="0"/>
                  <w:vAlign w:val="center"/>
                </w:tcPr>
                <w:p>
                  <w:pPr>
                    <w:jc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eastAsia" w:ascii="Times New Roman" w:hAnsi="Times New Roman" w:eastAsia="宋体" w:cs="Times New Roman"/>
                      <w:b w:val="0"/>
                      <w:bCs w:val="0"/>
                      <w:i w:val="0"/>
                      <w:iCs w:val="0"/>
                      <w:color w:val="auto"/>
                      <w:spacing w:val="0"/>
                      <w:kern w:val="0"/>
                      <w:sz w:val="21"/>
                      <w:szCs w:val="21"/>
                      <w:highlight w:val="none"/>
                      <w:lang w:val="en-US" w:eastAsia="zh-CN"/>
                    </w:rPr>
                    <w:t>1.426</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501" w:hRule="atLeast"/>
                <w:jc w:val="center"/>
              </w:trPr>
              <w:tc>
                <w:tcPr>
                  <w:tcW w:w="737" w:type="dxa"/>
                  <w:vMerge w:val="continue"/>
                  <w:noWrap w:val="0"/>
                  <w:vAlign w:val="center"/>
                </w:tcPr>
                <w:p>
                  <w:pPr>
                    <w:adjustRightInd w:val="0"/>
                    <w:snapToGrid w:val="0"/>
                    <w:jc w:val="center"/>
                    <w:rPr>
                      <w:rFonts w:hint="default" w:ascii="Times New Roman" w:hAnsi="Times New Roman" w:eastAsia="宋体" w:cs="Times New Roman"/>
                      <w:bCs/>
                      <w:color w:val="auto"/>
                      <w:szCs w:val="21"/>
                      <w:highlight w:val="none"/>
                    </w:rPr>
                  </w:pPr>
                </w:p>
              </w:tc>
              <w:tc>
                <w:tcPr>
                  <w:tcW w:w="1062"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SO</w:t>
                  </w:r>
                  <w:r>
                    <w:rPr>
                      <w:rFonts w:hint="default" w:ascii="Times New Roman" w:hAnsi="Times New Roman" w:eastAsia="宋体" w:cs="Times New Roman"/>
                      <w:bCs/>
                      <w:color w:val="auto"/>
                      <w:szCs w:val="21"/>
                      <w:highlight w:val="none"/>
                      <w:vertAlign w:val="subscript"/>
                    </w:rPr>
                    <w:t>2</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0.048</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0.630</w:t>
                  </w:r>
                </w:p>
              </w:tc>
              <w:tc>
                <w:tcPr>
                  <w:tcW w:w="14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0.048</w:t>
                  </w:r>
                </w:p>
              </w:tc>
              <w:tc>
                <w:tcPr>
                  <w:tcW w:w="1295"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0.630</w:t>
                  </w:r>
                </w:p>
              </w:tc>
              <w:tc>
                <w:tcPr>
                  <w:tcW w:w="1567" w:type="dxa"/>
                  <w:noWrap w:val="0"/>
                  <w:vAlign w:val="center"/>
                </w:tcPr>
                <w:p>
                  <w:pPr>
                    <w:spacing w:line="240" w:lineRule="auto"/>
                    <w:jc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eastAsia" w:ascii="Times New Roman" w:hAnsi="Times New Roman" w:eastAsia="宋体" w:cs="Times New Roman"/>
                      <w:b w:val="0"/>
                      <w:bCs w:val="0"/>
                      <w:i w:val="0"/>
                      <w:iCs w:val="0"/>
                      <w:color w:val="auto"/>
                      <w:spacing w:val="0"/>
                      <w:kern w:val="0"/>
                      <w:sz w:val="21"/>
                      <w:szCs w:val="21"/>
                      <w:highlight w:val="none"/>
                      <w:lang w:val="en-US" w:eastAsia="zh-CN" w:bidi="ar-SA"/>
                    </w:rPr>
                    <w:t>0.582</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cantSplit/>
                <w:trHeight w:val="547" w:hRule="atLeast"/>
                <w:jc w:val="center"/>
              </w:trPr>
              <w:tc>
                <w:tcPr>
                  <w:tcW w:w="737" w:type="dxa"/>
                  <w:vMerge w:val="continue"/>
                  <w:noWrap w:val="0"/>
                  <w:vAlign w:val="center"/>
                </w:tcPr>
                <w:p>
                  <w:pPr>
                    <w:adjustRightInd w:val="0"/>
                    <w:snapToGrid w:val="0"/>
                    <w:jc w:val="center"/>
                    <w:rPr>
                      <w:rFonts w:hint="default" w:ascii="Times New Roman" w:hAnsi="Times New Roman" w:eastAsia="宋体" w:cs="Times New Roman"/>
                      <w:bCs/>
                      <w:color w:val="auto"/>
                      <w:szCs w:val="21"/>
                      <w:highlight w:val="none"/>
                    </w:rPr>
                  </w:pPr>
                </w:p>
              </w:tc>
              <w:tc>
                <w:tcPr>
                  <w:tcW w:w="1062" w:type="dxa"/>
                  <w:noWrap w:val="0"/>
                  <w:vAlign w:val="center"/>
                </w:tcPr>
                <w:p>
                  <w:pPr>
                    <w:adjustRightInd w:val="0"/>
                    <w:snapToGrid w:val="0"/>
                    <w:jc w:val="center"/>
                    <w:rPr>
                      <w:rFonts w:hint="default" w:ascii="Times New Roman" w:hAnsi="Times New Roman" w:eastAsia="宋体" w:cs="Times New Roman"/>
                      <w:bCs/>
                      <w:color w:val="auto"/>
                      <w:szCs w:val="21"/>
                      <w:highlight w:val="none"/>
                    </w:rPr>
                  </w:pPr>
                  <w:r>
                    <w:rPr>
                      <w:rFonts w:hint="default" w:ascii="Times New Roman" w:hAnsi="Times New Roman" w:eastAsia="宋体" w:cs="Times New Roman"/>
                      <w:bCs/>
                      <w:color w:val="auto"/>
                      <w:szCs w:val="21"/>
                      <w:highlight w:val="none"/>
                    </w:rPr>
                    <w:t>NO</w:t>
                  </w:r>
                  <w:r>
                    <w:rPr>
                      <w:rFonts w:hint="default" w:ascii="Times New Roman" w:hAnsi="Times New Roman" w:eastAsia="宋体" w:cs="Times New Roman"/>
                      <w:bCs/>
                      <w:color w:val="auto"/>
                      <w:szCs w:val="21"/>
                      <w:highlight w:val="none"/>
                      <w:vertAlign w:val="subscript"/>
                    </w:rPr>
                    <w:t>X</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u w:val="none"/>
                      <w:lang w:val="en-US" w:eastAsia="zh-CN" w:bidi="ar"/>
                    </w:rPr>
                  </w:pPr>
                  <w:r>
                    <w:rPr>
                      <w:rFonts w:hint="eastAsia" w:cs="Times New Roman"/>
                      <w:i w:val="0"/>
                      <w:iCs w:val="0"/>
                      <w:color w:val="auto"/>
                      <w:kern w:val="0"/>
                      <w:sz w:val="21"/>
                      <w:szCs w:val="21"/>
                      <w:u w:val="none"/>
                      <w:lang w:val="en-US" w:eastAsia="zh-CN" w:bidi="ar"/>
                    </w:rPr>
                    <w:t>0.303</w:t>
                  </w:r>
                </w:p>
              </w:tc>
              <w:tc>
                <w:tcPr>
                  <w:tcW w:w="1233"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0.938</w:t>
                  </w:r>
                </w:p>
              </w:tc>
              <w:tc>
                <w:tcPr>
                  <w:tcW w:w="1488" w:type="dxa"/>
                  <w:noWrap w:val="0"/>
                  <w:vAlign w:val="center"/>
                </w:tcPr>
                <w:p>
                  <w:pPr>
                    <w:keepNext w:val="0"/>
                    <w:keepLines w:val="0"/>
                    <w:widowControl/>
                    <w:suppressLineNumbers w:val="0"/>
                    <w:jc w:val="center"/>
                    <w:textAlignment w:val="center"/>
                    <w:rPr>
                      <w:rFonts w:hint="default" w:ascii="Times New Roman" w:hAnsi="Times New Roman" w:eastAsia="宋体" w:cs="Times New Roman"/>
                      <w:bCs/>
                      <w:color w:val="auto"/>
                      <w:kern w:val="2"/>
                      <w:sz w:val="21"/>
                      <w:szCs w:val="21"/>
                      <w:highlight w:val="none"/>
                      <w:lang w:val="en-US" w:eastAsia="zh-CN" w:bidi="ar-SA"/>
                    </w:rPr>
                  </w:pPr>
                  <w:r>
                    <w:rPr>
                      <w:rFonts w:hint="eastAsia" w:cs="Times New Roman"/>
                      <w:i w:val="0"/>
                      <w:iCs w:val="0"/>
                      <w:color w:val="auto"/>
                      <w:kern w:val="0"/>
                      <w:sz w:val="21"/>
                      <w:szCs w:val="21"/>
                      <w:u w:val="none"/>
                      <w:lang w:val="en-US" w:eastAsia="zh-CN" w:bidi="ar"/>
                    </w:rPr>
                    <w:t>0.303</w:t>
                  </w:r>
                </w:p>
              </w:tc>
              <w:tc>
                <w:tcPr>
                  <w:tcW w:w="1295"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2"/>
                      <w:sz w:val="21"/>
                      <w:szCs w:val="21"/>
                      <w:lang w:val="en-US" w:eastAsia="zh-CN" w:bidi="ar"/>
                    </w:rPr>
                  </w:pPr>
                  <w:r>
                    <w:rPr>
                      <w:rFonts w:hint="eastAsia" w:cs="Times New Roman"/>
                      <w:color w:val="auto"/>
                      <w:kern w:val="2"/>
                      <w:sz w:val="21"/>
                      <w:szCs w:val="21"/>
                      <w:lang w:val="en-US" w:eastAsia="zh-CN" w:bidi="ar"/>
                    </w:rPr>
                    <w:t>0.938</w:t>
                  </w:r>
                </w:p>
              </w:tc>
              <w:tc>
                <w:tcPr>
                  <w:tcW w:w="1567" w:type="dxa"/>
                  <w:noWrap w:val="0"/>
                  <w:vAlign w:val="center"/>
                </w:tcPr>
                <w:p>
                  <w:pPr>
                    <w:spacing w:line="240" w:lineRule="auto"/>
                    <w:jc w:val="center"/>
                    <w:rPr>
                      <w:rFonts w:hint="default" w:ascii="Times New Roman" w:hAnsi="Times New Roman" w:eastAsia="宋体" w:cs="Times New Roman"/>
                      <w:b w:val="0"/>
                      <w:bCs/>
                      <w:snapToGrid w:val="0"/>
                      <w:color w:val="auto"/>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0.635</w:t>
                  </w:r>
                </w:p>
              </w:tc>
            </w:tr>
          </w:tbl>
          <w:p>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default" w:ascii="Times New Roman" w:hAnsi="Times New Roman" w:eastAsia="宋体" w:cs="Times New Roman"/>
                <w:color w:val="auto"/>
                <w:kern w:val="0"/>
                <w:szCs w:val="21"/>
                <w:lang w:val="en-US" w:eastAsia="zh-CN"/>
              </w:rPr>
            </w:pP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eastAsia="黑体" w:cs="Times New Roman"/>
          <w:snapToGrid w:val="0"/>
          <w:color w:val="auto"/>
          <w:sz w:val="36"/>
          <w:szCs w:val="36"/>
        </w:rPr>
        <w:br w:type="page"/>
      </w:r>
      <w:bookmarkStart w:id="23" w:name="_Toc11491"/>
      <w:bookmarkStart w:id="24" w:name="_Toc27865"/>
      <w:r>
        <w:rPr>
          <w:rFonts w:hint="default" w:ascii="Times New Roman" w:hAnsi="Times New Roman" w:eastAsia="黑体" w:cs="Times New Roman"/>
          <w:snapToGrid w:val="0"/>
          <w:color w:val="auto"/>
          <w:sz w:val="30"/>
          <w:szCs w:val="30"/>
        </w:rPr>
        <w:t>四、主要环境影响和保护措施</w:t>
      </w:r>
      <w:bookmarkEnd w:id="23"/>
      <w:bookmarkEnd w:id="24"/>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56"/>
        <w:gridCol w:w="88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79" w:hRule="atLeast"/>
          <w:jc w:val="center"/>
        </w:trPr>
        <w:tc>
          <w:tcPr>
            <w:tcW w:w="756" w:type="dxa"/>
            <w:noWrap w:val="0"/>
            <w:tcMar>
              <w:left w:w="28" w:type="dxa"/>
              <w:right w:w="28" w:type="dxa"/>
            </w:tcMar>
            <w:vAlign w:val="center"/>
          </w:tcPr>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施工</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期环</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境保</w:t>
            </w:r>
          </w:p>
          <w:p>
            <w:pPr>
              <w:pStyle w:val="25"/>
              <w:adjustRightInd w:val="0"/>
              <w:snapToGrid w:val="0"/>
              <w:spacing w:before="0" w:beforeAutospacing="0" w:after="0" w:afterAutospacing="0"/>
              <w:jc w:val="center"/>
              <w:rPr>
                <w:rFonts w:hint="default" w:ascii="Times New Roman" w:hAnsi="Times New Roman" w:cs="Times New Roman"/>
                <w:color w:val="auto"/>
                <w:kern w:val="2"/>
                <w:sz w:val="24"/>
                <w:szCs w:val="24"/>
              </w:rPr>
            </w:pPr>
            <w:r>
              <w:rPr>
                <w:rFonts w:hint="default" w:ascii="Times New Roman" w:hAnsi="Times New Roman" w:cs="Times New Roman"/>
                <w:color w:val="auto"/>
                <w:kern w:val="2"/>
                <w:sz w:val="24"/>
                <w:szCs w:val="24"/>
              </w:rPr>
              <w:t>护措</w:t>
            </w:r>
          </w:p>
          <w:p>
            <w:pPr>
              <w:pStyle w:val="25"/>
              <w:adjustRightInd w:val="0"/>
              <w:snapToGrid w:val="0"/>
              <w:spacing w:before="0" w:beforeAutospacing="0" w:after="0" w:afterAutospacing="0"/>
              <w:jc w:val="center"/>
              <w:rPr>
                <w:rFonts w:hint="default" w:ascii="Times New Roman" w:hAnsi="Times New Roman" w:cs="Times New Roman"/>
                <w:bCs/>
                <w:color w:val="auto"/>
                <w:kern w:val="2"/>
                <w:sz w:val="21"/>
                <w:szCs w:val="21"/>
              </w:rPr>
            </w:pPr>
            <w:r>
              <w:rPr>
                <w:rFonts w:hint="default" w:ascii="Times New Roman" w:hAnsi="Times New Roman" w:cs="Times New Roman"/>
                <w:color w:val="auto"/>
                <w:kern w:val="2"/>
                <w:sz w:val="24"/>
                <w:szCs w:val="24"/>
              </w:rPr>
              <w:t>施</w:t>
            </w:r>
          </w:p>
        </w:tc>
        <w:tc>
          <w:tcPr>
            <w:tcW w:w="8882" w:type="dxa"/>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本项目施工期内容主要为设备的安装。</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一、废水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w:t>
            </w:r>
            <w:r>
              <w:rPr>
                <w:rFonts w:hint="eastAsia"/>
                <w:color w:val="auto"/>
                <w:sz w:val="24"/>
                <w:lang w:val="en-US" w:eastAsia="zh-CN"/>
              </w:rPr>
              <w:t>无生产废水产生</w:t>
            </w:r>
            <w:r>
              <w:rPr>
                <w:rFonts w:hint="eastAsia"/>
                <w:color w:val="auto"/>
                <w:sz w:val="24"/>
              </w:rPr>
              <w:t>。施工人员生活污水排入防渗旱厕，定期清掏。</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lang w:val="en-US" w:eastAsia="zh-CN"/>
              </w:rPr>
              <w:t>二、</w:t>
            </w:r>
            <w:r>
              <w:rPr>
                <w:rFonts w:hint="eastAsia"/>
                <w:color w:val="auto"/>
                <w:sz w:val="24"/>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lang w:val="en-US" w:eastAsia="zh-CN"/>
              </w:rPr>
              <w:t>施工场地设置围挡，地面进行硬化，</w:t>
            </w:r>
            <w:r>
              <w:rPr>
                <w:rFonts w:hint="eastAsia"/>
                <w:color w:val="auto"/>
                <w:sz w:val="24"/>
              </w:rPr>
              <w:t>施工场地洒水抑尘，</w:t>
            </w:r>
            <w:r>
              <w:rPr>
                <w:rFonts w:hint="eastAsia"/>
                <w:color w:val="auto"/>
                <w:sz w:val="24"/>
                <w:lang w:val="en-US" w:eastAsia="zh-CN"/>
              </w:rPr>
              <w:t>运输车辆采用苫布苫盖，</w:t>
            </w:r>
            <w:r>
              <w:rPr>
                <w:rFonts w:hint="eastAsia"/>
                <w:color w:val="auto"/>
                <w:sz w:val="24"/>
              </w:rPr>
              <w:t>防止扬尘对周围环境空气的影响。</w:t>
            </w:r>
            <w:r>
              <w:rPr>
                <w:rFonts w:hint="eastAsia"/>
                <w:color w:val="auto"/>
                <w:sz w:val="24"/>
                <w:lang w:val="en-US" w:eastAsia="zh-CN"/>
              </w:rPr>
              <w:t>施工期</w:t>
            </w:r>
            <w:r>
              <w:rPr>
                <w:rFonts w:hint="default" w:ascii="Times New Roman" w:hAnsi="Times New Roman" w:eastAsia="宋体" w:cs="Times New Roman"/>
                <w:color w:val="auto"/>
                <w:sz w:val="24"/>
                <w:szCs w:val="24"/>
                <w:lang w:val="en-US" w:eastAsia="zh-CN"/>
              </w:rPr>
              <w:t>颗粒物无组织排放</w:t>
            </w:r>
            <w:r>
              <w:rPr>
                <w:rFonts w:hint="eastAsia" w:cs="Times New Roman"/>
                <w:color w:val="auto"/>
                <w:sz w:val="24"/>
                <w:szCs w:val="24"/>
                <w:lang w:val="en-US" w:eastAsia="zh-CN"/>
              </w:rPr>
              <w:t>满足</w:t>
            </w: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三、噪声</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施工期选用低噪声设备，夜间停止施工等措施，采取措施后场界噪声符合</w:t>
            </w:r>
            <w:r>
              <w:rPr>
                <w:rFonts w:hint="eastAsia"/>
                <w:b w:val="0"/>
                <w:bCs w:val="0"/>
                <w:color w:val="auto"/>
                <w:sz w:val="24"/>
              </w:rPr>
              <w:t>《建筑施工噪声排放标准》</w:t>
            </w:r>
            <w:r>
              <w:rPr>
                <w:rFonts w:hint="eastAsia"/>
                <w:b w:val="0"/>
                <w:bCs w:val="0"/>
                <w:color w:val="auto"/>
                <w:sz w:val="24"/>
                <w:lang w:eastAsia="zh-CN"/>
              </w:rPr>
              <w:t>（</w:t>
            </w:r>
            <w:r>
              <w:rPr>
                <w:rFonts w:hint="eastAsia"/>
                <w:b w:val="0"/>
                <w:bCs w:val="0"/>
                <w:color w:val="auto"/>
                <w:sz w:val="24"/>
              </w:rPr>
              <w:t>GB12523-20</w:t>
            </w:r>
            <w:r>
              <w:rPr>
                <w:rFonts w:hint="eastAsia"/>
                <w:b w:val="0"/>
                <w:bCs w:val="0"/>
                <w:color w:val="auto"/>
                <w:sz w:val="24"/>
                <w:lang w:val="en-US" w:eastAsia="zh-CN"/>
              </w:rPr>
              <w:t>25）</w:t>
            </w:r>
            <w:r>
              <w:rPr>
                <w:rFonts w:hint="eastAsia"/>
                <w:color w:val="auto"/>
                <w:sz w:val="24"/>
              </w:rPr>
              <w:t>要求。</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color w:val="auto"/>
                <w:sz w:val="24"/>
              </w:rPr>
            </w:pPr>
            <w:r>
              <w:rPr>
                <w:rFonts w:hint="eastAsia"/>
                <w:color w:val="auto"/>
                <w:sz w:val="24"/>
              </w:rPr>
              <w:t>四、固体废物</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eastAsia"/>
                <w:color w:val="auto"/>
                <w:sz w:val="24"/>
                <w:lang w:val="en-US" w:eastAsia="zh-CN"/>
              </w:rPr>
              <w:t>施工期固体废物主要为拆除的热风炉和烘干塔，交由从事再生资源回收经营活动的企业处置。</w:t>
            </w:r>
            <w:r>
              <w:rPr>
                <w:rFonts w:hint="eastAsia"/>
                <w:color w:val="auto"/>
                <w:sz w:val="24"/>
              </w:rPr>
              <w:t>产生的生活垃圾定点袋装后交由市政部门统一处理。建筑垃圾运送至指定地点处置，不对外随意排放，对当地环境影响较小</w:t>
            </w:r>
            <w:r>
              <w:rPr>
                <w:rFonts w:hint="eastAsia"/>
                <w:color w:val="auto"/>
                <w:sz w:val="24"/>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810" w:hRule="atLeast"/>
          <w:jc w:val="center"/>
        </w:trPr>
        <w:tc>
          <w:tcPr>
            <w:tcW w:w="756" w:type="dxa"/>
            <w:noWrap w:val="0"/>
            <w:tcMar>
              <w:left w:w="28" w:type="dxa"/>
              <w:right w:w="28" w:type="dxa"/>
            </w:tcMar>
            <w:vAlign w:val="center"/>
          </w:tcPr>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运营</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期环</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境影</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响和</w:t>
            </w:r>
          </w:p>
          <w:p>
            <w:pPr>
              <w:adjustRightInd w:val="0"/>
              <w:snapToGrid w:val="0"/>
              <w:jc w:val="center"/>
              <w:rPr>
                <w:rFonts w:hint="default" w:ascii="Times New Roman" w:hAnsi="Times New Roman" w:cs="Times New Roman"/>
                <w:bCs/>
                <w:color w:val="auto"/>
                <w:sz w:val="24"/>
                <w:szCs w:val="24"/>
              </w:rPr>
            </w:pPr>
            <w:r>
              <w:rPr>
                <w:rFonts w:hint="default" w:ascii="Times New Roman" w:hAnsi="Times New Roman" w:cs="Times New Roman"/>
                <w:bCs/>
                <w:color w:val="auto"/>
                <w:sz w:val="24"/>
                <w:szCs w:val="24"/>
              </w:rPr>
              <w:t>保护</w:t>
            </w:r>
          </w:p>
          <w:p>
            <w:pPr>
              <w:adjustRightInd w:val="0"/>
              <w:snapToGrid w:val="0"/>
              <w:jc w:val="center"/>
              <w:rPr>
                <w:rFonts w:hint="default" w:ascii="Times New Roman" w:hAnsi="Times New Roman" w:cs="Times New Roman"/>
                <w:bCs/>
                <w:color w:val="auto"/>
                <w:szCs w:val="21"/>
              </w:rPr>
            </w:pPr>
            <w:r>
              <w:rPr>
                <w:rFonts w:hint="default" w:ascii="Times New Roman" w:hAnsi="Times New Roman" w:cs="Times New Roman"/>
                <w:bCs/>
                <w:color w:val="auto"/>
                <w:sz w:val="24"/>
                <w:szCs w:val="24"/>
              </w:rPr>
              <w:t>措施</w:t>
            </w:r>
          </w:p>
        </w:tc>
        <w:tc>
          <w:tcPr>
            <w:tcW w:w="8882"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eastAsia" w:ascii="Times New Roman" w:hAnsi="Times New Roman" w:eastAsia="宋体" w:cs="Times New Roman"/>
                <w:b/>
                <w:bCs w:val="0"/>
                <w:color w:val="auto"/>
                <w:spacing w:val="-10"/>
                <w:sz w:val="24"/>
                <w:szCs w:val="24"/>
                <w:lang w:val="en-US" w:eastAsia="zh-CN"/>
              </w:rPr>
              <w:t>一</w:t>
            </w:r>
            <w:r>
              <w:rPr>
                <w:rFonts w:hint="default" w:ascii="Times New Roman" w:hAnsi="Times New Roman" w:eastAsia="宋体" w:cs="Times New Roman"/>
                <w:b/>
                <w:bCs w:val="0"/>
                <w:color w:val="auto"/>
                <w:spacing w:val="-10"/>
                <w:sz w:val="24"/>
                <w:szCs w:val="24"/>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eastAsia" w:ascii="Times New Roman" w:hAnsi="Times New Roman" w:eastAsia="宋体" w:cs="Times New Roman"/>
                <w:b/>
                <w:bCs w:val="0"/>
                <w:color w:val="auto"/>
                <w:spacing w:val="-10"/>
                <w:sz w:val="24"/>
                <w:szCs w:val="24"/>
                <w:lang w:val="en-US" w:eastAsia="zh-CN"/>
              </w:rPr>
              <w:t>一</w:t>
            </w:r>
            <w:r>
              <w:rPr>
                <w:rFonts w:hint="default" w:ascii="Times New Roman" w:hAnsi="Times New Roman" w:eastAsia="宋体" w:cs="Times New Roman"/>
                <w:b/>
                <w:bCs w:val="0"/>
                <w:color w:val="auto"/>
                <w:spacing w:val="-10"/>
                <w:sz w:val="24"/>
                <w:szCs w:val="24"/>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1、产污核算</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本项目主要废气源为</w:t>
            </w:r>
            <w:r>
              <w:rPr>
                <w:rFonts w:hint="eastAsia" w:cs="Times New Roman"/>
                <w:bCs/>
                <w:color w:val="auto"/>
                <w:spacing w:val="-10"/>
                <w:sz w:val="24"/>
                <w:szCs w:val="24"/>
                <w:lang w:val="en-US" w:eastAsia="zh-CN"/>
              </w:rPr>
              <w:t>粮食</w:t>
            </w:r>
            <w:r>
              <w:rPr>
                <w:rFonts w:hint="default" w:ascii="Times New Roman" w:hAnsi="Times New Roman" w:eastAsia="宋体" w:cs="Times New Roman"/>
                <w:bCs/>
                <w:color w:val="auto"/>
                <w:spacing w:val="-10"/>
                <w:sz w:val="24"/>
                <w:szCs w:val="24"/>
                <w:lang w:val="en-US" w:eastAsia="zh-CN"/>
              </w:rPr>
              <w:t>装卸、筛分、输送等过程产生的颗粒物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玉米烘干过程产生的颗粒物</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热风炉产生的含颗粒物、二氧化硫、氮氧化物的烟气</w:t>
            </w:r>
            <w:r>
              <w:rPr>
                <w:rFonts w:hint="eastAsia" w:cs="Times New Roman"/>
                <w:bCs/>
                <w:color w:val="auto"/>
                <w:spacing w:val="-10"/>
                <w:sz w:val="24"/>
                <w:szCs w:val="24"/>
                <w:lang w:val="en-US" w:eastAsia="zh-CN"/>
              </w:rPr>
              <w:t>。原粮主要为潮粮，产尘量可忽略不计</w:t>
            </w:r>
            <w:r>
              <w:rPr>
                <w:rFonts w:hint="default" w:ascii="Times New Roman" w:hAnsi="Times New Roman" w:eastAsia="宋体" w:cs="Times New Roman"/>
                <w:bCs/>
                <w:color w:val="auto"/>
                <w:spacing w:val="-10"/>
                <w:sz w:val="24"/>
                <w:szCs w:val="24"/>
                <w:lang w:val="en-US" w:eastAsia="zh-CN"/>
              </w:rPr>
              <w:t>。热风炉布袋除尘器及炉底定期清灰后，灰渣直接装袋封装，灰渣仓库临时堆放，产生少量粉尘可忽略不计。</w:t>
            </w:r>
            <w:r>
              <w:rPr>
                <w:rFonts w:hint="eastAsia" w:cs="Times New Roman"/>
                <w:bCs/>
                <w:color w:val="auto"/>
                <w:spacing w:val="-10"/>
                <w:sz w:val="24"/>
                <w:szCs w:val="24"/>
                <w:lang w:val="en-US" w:eastAsia="zh-CN"/>
              </w:rPr>
              <w:t>燃料库为封闭结构，生物质燃料采用装袋密闭储存，产生少量粉尘可忽略不计。</w:t>
            </w:r>
            <w:r>
              <w:rPr>
                <w:rFonts w:hint="default" w:ascii="Times New Roman" w:hAnsi="Times New Roman" w:eastAsia="宋体" w:cs="Times New Roman"/>
                <w:bCs/>
                <w:color w:val="auto"/>
                <w:spacing w:val="-10"/>
                <w:sz w:val="24"/>
                <w:szCs w:val="24"/>
                <w:lang w:val="en-US" w:eastAsia="zh-CN"/>
              </w:rPr>
              <w:t>为降低颗粒物排放量，本项目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粮食</w:t>
            </w:r>
            <w:r>
              <w:rPr>
                <w:rFonts w:hint="default" w:ascii="Times New Roman" w:hAnsi="Times New Roman" w:cs="Times New Roman"/>
                <w:color w:val="auto"/>
                <w:sz w:val="24"/>
                <w:szCs w:val="24"/>
              </w:rPr>
              <w:t>仓库</w:t>
            </w:r>
            <w:r>
              <w:rPr>
                <w:rFonts w:hint="default" w:ascii="Times New Roman" w:hAnsi="Times New Roman" w:cs="Times New Roman"/>
                <w:color w:val="auto"/>
                <w:sz w:val="24"/>
                <w:szCs w:val="24"/>
                <w:lang w:val="en-US" w:eastAsia="zh-CN"/>
              </w:rPr>
              <w:t>封闭</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运输车辆进入粮食仓库内装卸料</w:t>
            </w:r>
            <w:r>
              <w:rPr>
                <w:rFonts w:hint="default" w:ascii="Times New Roman" w:hAnsi="Times New Roman" w:cs="Times New Roman"/>
                <w:color w:val="auto"/>
                <w:sz w:val="24"/>
                <w:szCs w:val="24"/>
              </w:rPr>
              <w:t>，</w:t>
            </w:r>
            <w:r>
              <w:rPr>
                <w:rFonts w:hint="default" w:ascii="Times New Roman" w:hAnsi="Times New Roman" w:cs="Times New Roman"/>
                <w:color w:val="auto"/>
                <w:sz w:val="24"/>
                <w:szCs w:val="24"/>
                <w:lang w:val="en-US" w:eastAsia="zh-CN"/>
              </w:rPr>
              <w:t>装卸区设置遮挡设施，清选工艺采用封闭式清理筛；烘干塔体两侧排气孔设置折流挡板，有效降低颗粒物无组织排放量。热风炉</w:t>
            </w:r>
            <w:r>
              <w:rPr>
                <w:rFonts w:hint="eastAsia" w:cs="Times New Roman"/>
                <w:color w:val="auto"/>
                <w:sz w:val="24"/>
                <w:szCs w:val="24"/>
                <w:highlight w:val="none"/>
                <w:lang w:val="en-US" w:eastAsia="zh-CN"/>
              </w:rPr>
              <w:t>采用低氮燃烧技术，</w:t>
            </w:r>
            <w:r>
              <w:rPr>
                <w:rFonts w:hint="default" w:ascii="Times New Roman" w:hAnsi="Times New Roman" w:cs="Times New Roman"/>
                <w:color w:val="auto"/>
                <w:sz w:val="24"/>
                <w:szCs w:val="24"/>
                <w:lang w:val="en-US" w:eastAsia="zh-CN"/>
              </w:rPr>
              <w:t>烟气经布袋除尘器净化后由15m高烟囱高空排放。</w:t>
            </w:r>
            <w:r>
              <w:rPr>
                <w:rFonts w:hint="default" w:ascii="Times New Roman" w:hAnsi="Times New Roman" w:eastAsia="宋体" w:cs="Times New Roman"/>
                <w:bCs/>
                <w:color w:val="auto"/>
                <w:spacing w:val="-10"/>
                <w:sz w:val="24"/>
                <w:szCs w:val="24"/>
                <w:lang w:val="en-US" w:eastAsia="zh-CN"/>
              </w:rPr>
              <w:t>废气污染源源强核算内容如下：</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（1）装卸、输送粉尘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本项目玉米装卸、输送过程中会产生废气，主要污染物为颗粒物，根据《逸散性工业粉尘控制技术》中谷物贮仓，卡车装卸粉尘系数为0.1kg/t（卸料），本项目</w:t>
            </w:r>
            <w:r>
              <w:rPr>
                <w:rFonts w:hint="eastAsia" w:cs="Times New Roman"/>
                <w:bCs/>
                <w:color w:val="auto"/>
                <w:spacing w:val="-10"/>
                <w:sz w:val="24"/>
                <w:szCs w:val="24"/>
                <w:highlight w:val="none"/>
                <w:lang w:val="en-US" w:eastAsia="zh-CN"/>
              </w:rPr>
              <w:t>玉米</w:t>
            </w:r>
            <w:r>
              <w:rPr>
                <w:rFonts w:hint="eastAsia" w:ascii="Times New Roman" w:hAnsi="Times New Roman" w:eastAsia="宋体" w:cs="Times New Roman"/>
                <w:bCs/>
                <w:color w:val="auto"/>
                <w:spacing w:val="-10"/>
                <w:sz w:val="24"/>
                <w:szCs w:val="24"/>
                <w:highlight w:val="none"/>
                <w:lang w:val="en-US" w:eastAsia="zh-CN"/>
              </w:rPr>
              <w:t>烘干</w:t>
            </w:r>
            <w:r>
              <w:rPr>
                <w:rFonts w:hint="default" w:ascii="Times New Roman" w:hAnsi="Times New Roman" w:eastAsia="宋体" w:cs="Times New Roman"/>
                <w:bCs/>
                <w:color w:val="auto"/>
                <w:spacing w:val="-10"/>
                <w:sz w:val="24"/>
                <w:szCs w:val="24"/>
                <w:highlight w:val="none"/>
                <w:lang w:val="en-US" w:eastAsia="zh-CN"/>
              </w:rPr>
              <w:t>装卸玉米量</w:t>
            </w:r>
            <w:r>
              <w:rPr>
                <w:rFonts w:hint="eastAsia" w:cs="Times New Roman"/>
                <w:bCs/>
                <w:color w:val="auto"/>
                <w:spacing w:val="-10"/>
                <w:sz w:val="24"/>
                <w:szCs w:val="24"/>
                <w:highlight w:val="none"/>
                <w:lang w:val="en-US" w:eastAsia="zh-CN"/>
              </w:rPr>
              <w:t>总计150</w:t>
            </w:r>
            <w:r>
              <w:rPr>
                <w:rFonts w:hint="eastAsia" w:ascii="Times New Roman" w:hAnsi="Times New Roman" w:eastAsia="宋体" w:cs="Times New Roman"/>
                <w:bCs/>
                <w:color w:val="auto"/>
                <w:spacing w:val="-10"/>
                <w:sz w:val="24"/>
                <w:szCs w:val="24"/>
                <w:highlight w:val="none"/>
                <w:lang w:val="en-US" w:eastAsia="zh-CN"/>
              </w:rPr>
              <w:t>00</w:t>
            </w:r>
            <w:r>
              <w:rPr>
                <w:rFonts w:hint="default" w:ascii="Times New Roman" w:hAnsi="Times New Roman" w:eastAsia="宋体" w:cs="Times New Roman"/>
                <w:bCs/>
                <w:color w:val="auto"/>
                <w:spacing w:val="-10"/>
                <w:sz w:val="24"/>
                <w:szCs w:val="24"/>
                <w:highlight w:val="none"/>
                <w:lang w:val="en-US" w:eastAsia="zh-CN"/>
              </w:rPr>
              <w:t>吨，粉尘产生量为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kg/h，则装卸过程无组织排放粉尘为0.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w:t>
            </w:r>
            <w:r>
              <w:rPr>
                <w:rFonts w:hint="eastAsia" w:cs="Times New Roman"/>
                <w:bCs/>
                <w:color w:val="auto"/>
                <w:spacing w:val="-10"/>
                <w:sz w:val="24"/>
                <w:szCs w:val="24"/>
                <w:highlight w:val="none"/>
                <w:lang w:val="en-US" w:eastAsia="zh-CN"/>
              </w:rPr>
              <w:t>0.21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（2）筛选粉尘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本项目玉米进入粮仓之前进行筛分，筛分产生的粉尘根据《逸散性工业粉尘控制技术》中谷物贮仓，过筛工序逸散尘排放因子取0.1kg/t。筛分量为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t，产生粉尘总量为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kg/h，筛分设备密闭，产生的粉尘经设备自带布袋除尘器处理后排放，处理效率为9</w:t>
            </w:r>
            <w:r>
              <w:rPr>
                <w:rFonts w:hint="eastAsia" w:ascii="Times New Roman" w:hAnsi="Times New Roman" w:eastAsia="宋体" w:cs="Times New Roman"/>
                <w:bCs/>
                <w:color w:val="auto"/>
                <w:spacing w:val="-10"/>
                <w:sz w:val="24"/>
                <w:szCs w:val="24"/>
                <w:highlight w:val="none"/>
                <w:lang w:val="en-US" w:eastAsia="zh-CN"/>
              </w:rPr>
              <w:t>0</w:t>
            </w:r>
            <w:r>
              <w:rPr>
                <w:rFonts w:hint="default" w:ascii="Times New Roman" w:hAnsi="Times New Roman" w:eastAsia="宋体" w:cs="Times New Roman"/>
                <w:bCs/>
                <w:color w:val="auto"/>
                <w:spacing w:val="-10"/>
                <w:sz w:val="24"/>
                <w:szCs w:val="24"/>
                <w:highlight w:val="none"/>
                <w:lang w:val="en-US" w:eastAsia="zh-CN"/>
              </w:rPr>
              <w:t>%，则粉尘排放量为0.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（3）烘干粉尘</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本项目年使用烘干塔</w:t>
            </w:r>
            <w:r>
              <w:rPr>
                <w:rFonts w:hint="eastAsia" w:cs="Times New Roman"/>
                <w:bCs/>
                <w:color w:val="auto"/>
                <w:spacing w:val="-10"/>
                <w:sz w:val="24"/>
                <w:szCs w:val="24"/>
                <w:highlight w:val="none"/>
                <w:lang w:val="en-US" w:eastAsia="zh-CN"/>
              </w:rPr>
              <w:t>720</w:t>
            </w:r>
            <w:r>
              <w:rPr>
                <w:rFonts w:hint="default" w:ascii="Times New Roman" w:hAnsi="Times New Roman" w:eastAsia="宋体" w:cs="Times New Roman"/>
                <w:bCs/>
                <w:color w:val="auto"/>
                <w:spacing w:val="-10"/>
                <w:sz w:val="24"/>
                <w:szCs w:val="24"/>
                <w:highlight w:val="none"/>
                <w:lang w:val="en-US" w:eastAsia="zh-CN"/>
              </w:rPr>
              <w:t>h/a。粮食经烘干塔烘干时产生粉尘，根据《逸散性工业粉尘控制技术（中国环境科学出版社）》，过筛工序逸散尘排放因子取0.1kg/t，本项目进入烘干塔玉米量为</w:t>
            </w:r>
            <w:r>
              <w:rPr>
                <w:rFonts w:hint="eastAsia" w:cs="Times New Roman"/>
                <w:bCs/>
                <w:color w:val="auto"/>
                <w:spacing w:val="-10"/>
                <w:sz w:val="24"/>
                <w:szCs w:val="24"/>
                <w:highlight w:val="none"/>
                <w:lang w:val="en-US" w:eastAsia="zh-CN"/>
              </w:rPr>
              <w:t>14998.5</w:t>
            </w:r>
            <w:r>
              <w:rPr>
                <w:rFonts w:hint="default" w:ascii="Times New Roman" w:hAnsi="Times New Roman" w:eastAsia="宋体" w:cs="Times New Roman"/>
                <w:bCs/>
                <w:color w:val="auto"/>
                <w:spacing w:val="-10"/>
                <w:sz w:val="24"/>
                <w:szCs w:val="24"/>
                <w:highlight w:val="none"/>
                <w:lang w:val="en-US" w:eastAsia="zh-CN"/>
              </w:rPr>
              <w:t>t/a，粉尘产生量为</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t/a，粉尘产生速率为</w:t>
            </w:r>
            <w:r>
              <w:rPr>
                <w:rFonts w:hint="eastAsia" w:cs="Times New Roman"/>
                <w:bCs/>
                <w:color w:val="auto"/>
                <w:spacing w:val="-10"/>
                <w:sz w:val="24"/>
                <w:szCs w:val="24"/>
                <w:highlight w:val="none"/>
                <w:lang w:val="en-US" w:eastAsia="zh-CN"/>
              </w:rPr>
              <w:t>2.08</w:t>
            </w:r>
            <w:r>
              <w:rPr>
                <w:rFonts w:hint="default" w:ascii="Times New Roman" w:hAnsi="Times New Roman" w:eastAsia="宋体" w:cs="Times New Roman"/>
                <w:bCs/>
                <w:color w:val="auto"/>
                <w:spacing w:val="-10"/>
                <w:sz w:val="24"/>
                <w:szCs w:val="24"/>
                <w:highlight w:val="none"/>
                <w:lang w:val="en-US" w:eastAsia="zh-CN"/>
              </w:rPr>
              <w:t>kg/h，烘干塔内部自带重力沉降室，四周设置防尘挡板，粉尘受挡板格挡后受重力作用回落到烘干塔底部收尘设施中，少量粉尘从塔顶排放。参照《扬尘源颗粒物排放清单编制技术指南》中围挡遮围对TSP的控制效率，本项目抑尘效率按90%计，则项目烘干塔无组织粉尘排放量为0.</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t/a，排放速率为0.</w:t>
            </w:r>
            <w:r>
              <w:rPr>
                <w:rFonts w:hint="eastAsia" w:cs="Times New Roman"/>
                <w:bCs/>
                <w:color w:val="auto"/>
                <w:spacing w:val="-10"/>
                <w:sz w:val="24"/>
                <w:szCs w:val="24"/>
                <w:highlight w:val="none"/>
                <w:lang w:val="en-US" w:eastAsia="zh-CN"/>
              </w:rPr>
              <w:t>21</w:t>
            </w:r>
            <w:r>
              <w:rPr>
                <w:rFonts w:hint="default" w:ascii="Times New Roman" w:hAnsi="Times New Roman" w:eastAsia="宋体" w:cs="Times New Roman"/>
                <w:bCs/>
                <w:color w:val="auto"/>
                <w:spacing w:val="-10"/>
                <w:sz w:val="24"/>
                <w:szCs w:val="24"/>
                <w:highlight w:val="none"/>
                <w:lang w:val="en-US" w:eastAsia="zh-CN"/>
              </w:rPr>
              <w:t>kg/h。</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4</w:t>
            </w:r>
            <w:r>
              <w:rPr>
                <w:rFonts w:hint="eastAsia" w:ascii="Times New Roman" w:hAnsi="Times New Roman" w:eastAsia="宋体"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热风炉废气有组织排放源强</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rFonts w:hint="default" w:ascii="Times New Roman" w:hAnsi="Times New Roman" w:eastAsia="宋体" w:cs="Times New Roman"/>
                <w:color w:val="auto"/>
                <w:sz w:val="24"/>
                <w:highlight w:val="none"/>
                <w:lang w:eastAsia="zh-CN"/>
              </w:rPr>
              <w:t>热风炉</w:t>
            </w:r>
            <w:r>
              <w:rPr>
                <w:rFonts w:hint="default" w:ascii="Times New Roman" w:hAnsi="Times New Roman" w:eastAsia="宋体" w:cs="Times New Roman"/>
                <w:color w:val="auto"/>
                <w:sz w:val="24"/>
                <w:highlight w:val="none"/>
              </w:rPr>
              <w:t>燃烧产生的大气污染物有SO</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w:t>
            </w:r>
            <w:r>
              <w:rPr>
                <w:rFonts w:hint="default" w:ascii="Times New Roman" w:hAnsi="Times New Roman" w:eastAsia="宋体" w:cs="Times New Roman"/>
                <w:color w:val="auto"/>
                <w:sz w:val="24"/>
                <w:highlight w:val="none"/>
                <w:lang w:eastAsia="zh-CN"/>
              </w:rPr>
              <w:t>烟尘</w:t>
            </w:r>
            <w:r>
              <w:rPr>
                <w:rFonts w:hint="default" w:ascii="Times New Roman" w:hAnsi="Times New Roman" w:eastAsia="宋体" w:cs="Times New Roman"/>
                <w:color w:val="auto"/>
                <w:sz w:val="24"/>
                <w:highlight w:val="none"/>
              </w:rPr>
              <w:t>及NO</w:t>
            </w:r>
            <w:r>
              <w:rPr>
                <w:rFonts w:hint="default" w:ascii="Times New Roman" w:hAnsi="Times New Roman" w:eastAsia="宋体" w:cs="Times New Roman"/>
                <w:color w:val="auto"/>
                <w:sz w:val="24"/>
                <w:highlight w:val="none"/>
                <w:vertAlign w:val="subscript"/>
              </w:rPr>
              <w:t>X</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rPr>
              <w:t>烟气量、</w:t>
            </w:r>
            <w:r>
              <w:rPr>
                <w:rFonts w:hint="eastAsia" w:ascii="Times New Roman" w:hAnsi="Times New Roman" w:eastAsia="宋体" w:cs="Times New Roman"/>
                <w:color w:val="auto"/>
                <w:sz w:val="24"/>
                <w:highlight w:val="none"/>
                <w:lang w:val="en-US" w:eastAsia="zh-CN"/>
              </w:rPr>
              <w:t>烟尘、</w:t>
            </w:r>
            <w:r>
              <w:rPr>
                <w:rFonts w:hint="eastAsia" w:ascii="Times New Roman" w:hAnsi="Times New Roman" w:eastAsia="宋体" w:cs="Times New Roman"/>
                <w:color w:val="auto"/>
                <w:sz w:val="24"/>
                <w:highlight w:val="none"/>
                <w:lang w:eastAsia="zh-CN"/>
              </w:rPr>
              <w:t>氮氧化物</w:t>
            </w:r>
            <w:r>
              <w:rPr>
                <w:rFonts w:hint="eastAsia" w:ascii="Times New Roman" w:hAnsi="Times New Roman" w:eastAsia="宋体" w:cs="Times New Roman"/>
                <w:color w:val="auto"/>
                <w:sz w:val="24"/>
                <w:highlight w:val="none"/>
              </w:rPr>
              <w:t>源强、二氧化硫源强</w:t>
            </w:r>
            <w:r>
              <w:rPr>
                <w:rFonts w:hint="default" w:ascii="Times New Roman" w:hAnsi="Times New Roman" w:eastAsia="宋体" w:cs="Times New Roman"/>
                <w:color w:val="auto"/>
                <w:sz w:val="24"/>
                <w:highlight w:val="none"/>
              </w:rPr>
              <w:t>根据《污染源源强核算技术指南 锅炉》（HJ888-2018）</w:t>
            </w:r>
            <w:r>
              <w:rPr>
                <w:rFonts w:hint="eastAsia" w:ascii="Times New Roman" w:hAnsi="Times New Roman" w:eastAsia="宋体" w:cs="Times New Roman"/>
                <w:color w:val="auto"/>
                <w:sz w:val="24"/>
                <w:highlight w:val="none"/>
              </w:rPr>
              <w:t>物料衡算法计算源强。</w:t>
            </w:r>
            <w:bookmarkStart w:id="25" w:name="_Hlk65495894"/>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a）烟气量按下式计算</w:t>
            </w:r>
          </w:p>
          <w:p>
            <w:pPr>
              <w:spacing w:line="360" w:lineRule="auto"/>
              <w:ind w:firstLine="480" w:firstLineChars="200"/>
              <w:rPr>
                <w:color w:val="auto"/>
                <w:sz w:val="24"/>
                <w:szCs w:val="32"/>
              </w:rPr>
            </w:pPr>
            <w:r>
              <w:rPr>
                <w:color w:val="auto"/>
                <w:sz w:val="24"/>
                <w:szCs w:val="32"/>
              </w:rPr>
              <w:t>理论空气量：有元素</w:t>
            </w:r>
            <w:r>
              <w:rPr>
                <w:rFonts w:hint="eastAsia"/>
                <w:color w:val="auto"/>
                <w:sz w:val="24"/>
                <w:szCs w:val="32"/>
              </w:rPr>
              <w:t>成分</w:t>
            </w:r>
            <w:r>
              <w:rPr>
                <w:color w:val="auto"/>
                <w:sz w:val="24"/>
                <w:szCs w:val="32"/>
              </w:rPr>
              <w:t>分析时理论空气量可用公式计算</w:t>
            </w:r>
            <w:r>
              <w:rPr>
                <w:rFonts w:hint="eastAsia"/>
                <w:color w:val="auto"/>
                <w:sz w:val="24"/>
                <w:szCs w:val="32"/>
              </w:rPr>
              <w:t>：</w:t>
            </w:r>
          </w:p>
          <w:p>
            <w:pPr>
              <w:spacing w:line="440" w:lineRule="exact"/>
              <w:ind w:firstLine="420" w:firstLineChars="200"/>
              <w:rPr>
                <w:color w:val="auto"/>
                <w:sz w:val="24"/>
              </w:rPr>
            </w:pPr>
            <w:r>
              <w:rPr>
                <w:color w:val="auto"/>
              </w:rPr>
              <w:drawing>
                <wp:anchor distT="0" distB="0" distL="114300" distR="114300" simplePos="0" relativeHeight="251674624" behindDoc="0" locked="0" layoutInCell="1" allowOverlap="1">
                  <wp:simplePos x="0" y="0"/>
                  <wp:positionH relativeFrom="column">
                    <wp:posOffset>791845</wp:posOffset>
                  </wp:positionH>
                  <wp:positionV relativeFrom="paragraph">
                    <wp:posOffset>104775</wp:posOffset>
                  </wp:positionV>
                  <wp:extent cx="3317875" cy="213360"/>
                  <wp:effectExtent l="0" t="0" r="15875" b="15240"/>
                  <wp:wrapNone/>
                  <wp:docPr id="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
                          <pic:cNvPicPr>
                            <a:picLocks noChangeAspect="1"/>
                          </pic:cNvPicPr>
                        </pic:nvPicPr>
                        <pic:blipFill>
                          <a:blip r:embed="rId21"/>
                          <a:stretch>
                            <a:fillRect/>
                          </a:stretch>
                        </pic:blipFill>
                        <pic:spPr>
                          <a:xfrm>
                            <a:off x="0" y="0"/>
                            <a:ext cx="3317875" cy="213360"/>
                          </a:xfrm>
                          <a:prstGeom prst="rect">
                            <a:avLst/>
                          </a:prstGeom>
                          <a:noFill/>
                          <a:ln>
                            <a:noFill/>
                          </a:ln>
                        </pic:spPr>
                      </pic:pic>
                    </a:graphicData>
                  </a:graphic>
                </wp:anchor>
              </w:drawing>
            </w:r>
          </w:p>
          <w:p>
            <w:pPr>
              <w:spacing w:line="360" w:lineRule="auto"/>
              <w:ind w:firstLine="480" w:firstLineChars="200"/>
              <w:rPr>
                <w:color w:val="auto"/>
                <w:sz w:val="24"/>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式</w:t>
            </w:r>
            <w:r>
              <w:rPr>
                <w:color w:val="auto"/>
                <w:sz w:val="24"/>
              </w:rPr>
              <w:t>中，V</w:t>
            </w:r>
            <w:r>
              <w:rPr>
                <w:rFonts w:hint="eastAsia"/>
                <w:color w:val="auto"/>
                <w:sz w:val="24"/>
                <w:vertAlign w:val="subscript"/>
              </w:rPr>
              <w:t>0</w:t>
            </w:r>
            <w:r>
              <w:rPr>
                <w:color w:val="auto"/>
                <w:sz w:val="24"/>
              </w:rPr>
              <w:t>——</w:t>
            </w:r>
            <w:r>
              <w:rPr>
                <w:rFonts w:hint="eastAsia"/>
                <w:color w:val="auto"/>
                <w:sz w:val="24"/>
              </w:rPr>
              <w:t>理论空气量</w:t>
            </w:r>
            <w:r>
              <w:rPr>
                <w:color w:val="auto"/>
                <w:sz w:val="24"/>
              </w:rPr>
              <w:t>，m</w:t>
            </w:r>
            <w:r>
              <w:rPr>
                <w:color w:val="auto"/>
                <w:sz w:val="24"/>
                <w:vertAlign w:val="superscript"/>
              </w:rPr>
              <w:t>3</w:t>
            </w:r>
            <w:r>
              <w:rPr>
                <w:color w:val="auto"/>
                <w:sz w:val="24"/>
              </w:rPr>
              <w:t>/</w:t>
            </w:r>
            <w:r>
              <w:rPr>
                <w:rFonts w:hint="eastAsia"/>
                <w:color w:val="auto"/>
                <w:sz w:val="24"/>
              </w:rPr>
              <w:t>kg</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rFonts w:hint="eastAsia"/>
                <w:color w:val="auto"/>
                <w:sz w:val="24"/>
              </w:rPr>
              <w:t>C</w:t>
            </w:r>
            <w:r>
              <w:rPr>
                <w:color w:val="auto"/>
                <w:sz w:val="24"/>
              </w:rPr>
              <w:t>ar——收到基</w:t>
            </w:r>
            <w:r>
              <w:rPr>
                <w:rFonts w:hint="eastAsia"/>
                <w:color w:val="auto"/>
                <w:sz w:val="24"/>
              </w:rPr>
              <w:t>碳</w:t>
            </w:r>
            <w:r>
              <w:rPr>
                <w:color w:val="auto"/>
                <w:sz w:val="24"/>
              </w:rPr>
              <w:t>的质量分数，取</w:t>
            </w:r>
            <w:r>
              <w:rPr>
                <w:rFonts w:hint="eastAsia"/>
                <w:color w:val="auto"/>
                <w:sz w:val="24"/>
              </w:rPr>
              <w:t>38.82</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Sar——收到基硫含量，取</w:t>
            </w:r>
            <w:r>
              <w:rPr>
                <w:rFonts w:hint="eastAsia"/>
                <w:color w:val="auto"/>
                <w:sz w:val="24"/>
              </w:rPr>
              <w:t>0.07</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Har——收到基氢含量，取</w:t>
            </w:r>
            <w:r>
              <w:rPr>
                <w:rFonts w:hint="eastAsia"/>
                <w:color w:val="auto"/>
                <w:sz w:val="24"/>
              </w:rPr>
              <w:t>4.38</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rPr>
            </w:pPr>
            <w:r>
              <w:rPr>
                <w:color w:val="auto"/>
                <w:sz w:val="24"/>
              </w:rPr>
              <w:t>Qar——收到基氧含量，取</w:t>
            </w:r>
            <w:r>
              <w:rPr>
                <w:rFonts w:hint="eastAsia"/>
                <w:color w:val="auto"/>
                <w:sz w:val="24"/>
              </w:rPr>
              <w:t>33.13</w:t>
            </w:r>
            <w:r>
              <w:rPr>
                <w:color w:val="auto"/>
                <w:sz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rPr>
            </w:pPr>
            <w:r>
              <w:rPr>
                <w:color w:val="auto"/>
                <w:sz w:val="24"/>
              </w:rPr>
              <w:t>干烟气排放量可用公式计算</w:t>
            </w:r>
            <w:r>
              <w:rPr>
                <w:rFonts w:hint="eastAsia"/>
                <w:color w:val="auto"/>
                <w:sz w:val="24"/>
              </w:rPr>
              <w:t>：</w:t>
            </w:r>
          </w:p>
          <w:p>
            <w:pPr>
              <w:pStyle w:val="3"/>
              <w:keepNext/>
              <w:keepLines w:val="0"/>
              <w:pageBreakBefore w:val="0"/>
              <w:widowControl w:val="0"/>
              <w:kinsoku/>
              <w:wordWrap/>
              <w:overflowPunct w:val="0"/>
              <w:topLinePunct w:val="0"/>
              <w:autoSpaceDE/>
              <w:autoSpaceDN/>
              <w:bidi w:val="0"/>
              <w:adjustRightInd/>
              <w:snapToGrid w:val="0"/>
              <w:spacing w:before="0" w:after="0"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w:bookmarkStart w:id="26" w:name="_Toc22421"/>
            <w:bookmarkStart w:id="27" w:name="_Toc2017"/>
            <w:bookmarkStart w:id="28" w:name="_Toc13746"/>
            <w:bookmarkStart w:id="29" w:name="_Toc15687"/>
            <w:bookmarkStart w:id="30" w:name="_Toc29984"/>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=1.866×</m:t>
              </m:r>
              <m:f>
                <m:fPr>
                  <m:ctrlPr>
                    <w:rPr>
                      <w:rFonts w:hint="default" w:ascii="Cambria Math" w:hAnsi="Cambria Math" w:cs="Times New Roman"/>
                      <w:b w:val="0"/>
                      <w:bCs w:val="0"/>
                      <w:i w:val="0"/>
                      <w:color w:val="auto"/>
                      <w:kern w:val="44"/>
                      <w:sz w:val="24"/>
                      <w:szCs w:val="24"/>
                      <w:lang w:val="en-US" w:eastAsia="zh-CN" w:bidi="ar-SA"/>
                    </w:rPr>
                  </m:ctrlPr>
                </m:fPr>
                <m:num>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C</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+0.375</m:t>
                  </m:r>
                  <m:sSub>
                    <m:sSubPr>
                      <m:ctrlPr>
                        <w:rPr>
                          <w:rFonts w:hint="default" w:ascii="Cambria Math" w:hAnsi="Cambria Math" w:cs="Times New Roman"/>
                          <w:b w:val="0"/>
                          <w:bCs w:val="0"/>
                          <w:i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S</m:t>
                      </m:r>
                      <m:ctrlPr>
                        <w:rPr>
                          <w:rFonts w:hint="default" w:ascii="Cambria Math" w:hAnsi="Cambria Math" w:cs="Times New Roman"/>
                          <w:b w:val="0"/>
                          <w:bCs w:val="0"/>
                          <w:i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i w:val="0"/>
                          <w:color w:val="auto"/>
                          <w:kern w:val="44"/>
                          <w:sz w:val="24"/>
                          <w:szCs w:val="24"/>
                          <w:lang w:val="en-US" w:eastAsia="zh-CN" w:bidi="ar-SA"/>
                        </w:rPr>
                      </m:ctrlPr>
                    </m:sub>
                  </m:sSub>
                  <m:ctrlPr>
                    <w:rPr>
                      <w:rFonts w:hint="default" w:ascii="Cambria Math" w:hAnsi="Cambria Math" w:cs="Times New Roman"/>
                      <w:b w:val="0"/>
                      <w:bCs w:val="0"/>
                      <w:i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w:bookmarkEnd w:id="26"/>
                  <w:bookmarkEnd w:id="27"/>
                  <w:bookmarkEnd w:id="28"/>
                  <w:bookmarkEnd w:id="29"/>
                  <m:ctrlPr>
                    <w:rPr>
                      <w:rFonts w:hint="default" w:ascii="Cambria Math" w:hAnsi="Cambria Math" w:cs="Times New Roman"/>
                      <w:b w:val="0"/>
                      <w:bCs w:val="0"/>
                      <w:i w:val="0"/>
                      <w:color w:val="auto"/>
                      <w:kern w:val="44"/>
                      <w:sz w:val="24"/>
                      <w:szCs w:val="24"/>
                      <w:lang w:val="en-US" w:eastAsia="zh-CN" w:bidi="ar-SA"/>
                    </w:rPr>
                  </m:ctrlPr>
                </m:den>
              </m:f>
            </m:oMath>
            <w:bookmarkEnd w:id="30"/>
            <w:r>
              <w:rPr>
                <w:rFonts w:hint="default" w:ascii="Cambria Math" w:hAnsi="Cambria Math" w:cs="Times New Roman"/>
                <w:b w:val="0"/>
                <w:bCs w:val="0"/>
                <w:i w:val="0"/>
                <w:color w:val="auto"/>
                <w:kern w:val="44"/>
                <w:sz w:val="24"/>
                <w:szCs w:val="24"/>
                <w:lang w:val="en-US" w:eastAsia="zh-CN" w:bidi="ar-SA"/>
              </w:rPr>
              <w:t xml:space="preserve"> </w:t>
            </w:r>
          </w:p>
          <w:p>
            <w:pPr>
              <w:keepLines w:val="0"/>
              <w:pageBreakBefore w:val="0"/>
              <w:widowControl w:val="0"/>
              <w:kinsoku/>
              <w:wordWrap/>
              <w:topLinePunct w:val="0"/>
              <w:autoSpaceDE/>
              <w:autoSpaceDN/>
              <w:bidi w:val="0"/>
              <w:adjustRightInd/>
              <w:spacing w:line="360" w:lineRule="auto"/>
              <w:ind w:left="0" w:firstLine="480" w:firstLineChars="200"/>
              <w:textAlignment w:val="auto"/>
              <w:rPr>
                <w:rFonts w:hint="default" w:ascii="Times New Roman" w:hAnsi="Times New Roman" w:cs="Times New Roman"/>
                <w:b w:val="0"/>
                <w:bCs w:val="0"/>
                <w:i w:val="0"/>
                <w:color w:val="auto"/>
                <w:kern w:val="44"/>
                <w:sz w:val="24"/>
                <w:szCs w:val="24"/>
                <w:lang w:val="en-US" w:eastAsia="zh-CN" w:bidi="ar-SA"/>
              </w:rPr>
            </w:pPr>
            <m:oMath>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=0.79</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+0.8×</m:t>
              </m:r>
              <m:f>
                <m:fPr>
                  <m:ctrlPr>
                    <w:rPr>
                      <w:rFonts w:hint="default" w:ascii="Cambria Math" w:hAnsi="Cambria Math" w:cs="Times New Roman"/>
                      <w:b w:val="0"/>
                      <w:bCs w:val="0"/>
                      <w:color w:val="auto"/>
                      <w:kern w:val="44"/>
                      <w:sz w:val="24"/>
                      <w:szCs w:val="24"/>
                      <w:lang w:val="en-US" w:eastAsia="zh-CN" w:bidi="ar-SA"/>
                    </w:rPr>
                  </m:ctrlPr>
                </m:fPr>
                <m:num>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ar</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num>
                <m:den>
                  <m:r>
                    <m:rPr>
                      <m:nor/>
                      <m:sty m:val="p"/>
                    </m:rPr>
                    <w:rPr>
                      <w:rFonts w:hint="default" w:ascii="Times New Roman" w:hAnsi="Times New Roman" w:cs="Times New Roman"/>
                      <w:b w:val="0"/>
                      <w:bCs w:val="0"/>
                      <w:i w:val="0"/>
                      <w:color w:val="auto"/>
                      <w:kern w:val="44"/>
                      <w:sz w:val="24"/>
                      <w:szCs w:val="24"/>
                      <w:lang w:val="en-US" w:eastAsia="zh-CN" w:bidi="ar-SA"/>
                    </w:rPr>
                    <m:t>100</m:t>
                  </m:r>
                  <m:ctrlPr>
                    <w:rPr>
                      <w:rFonts w:hint="default" w:ascii="Cambria Math" w:hAnsi="Cambria Math" w:cs="Times New Roman"/>
                      <w:b w:val="0"/>
                      <w:bCs w:val="0"/>
                      <w:color w:val="auto"/>
                      <w:kern w:val="44"/>
                      <w:sz w:val="24"/>
                      <w:szCs w:val="24"/>
                      <w:lang w:val="en-US" w:eastAsia="zh-CN" w:bidi="ar-SA"/>
                    </w:rPr>
                  </m:ctrlPr>
                </m:den>
              </m:f>
            </m:oMath>
            <w:r>
              <w:rPr>
                <w:rFonts w:hint="default" w:ascii="Cambria Math" w:hAnsi="Cambria Math" w:cs="Times New Roman"/>
                <w:b w:val="0"/>
                <w:bCs w:val="0"/>
                <w:color w:val="auto"/>
                <w:kern w:val="44"/>
                <w:sz w:val="24"/>
                <w:szCs w:val="24"/>
                <w:lang w:val="en-US" w:eastAsia="zh-CN" w:bidi="ar-SA"/>
              </w:rPr>
              <w:t xml:space="preserve"> </w:t>
            </w:r>
          </w:p>
          <w:p>
            <w:pPr>
              <w:pStyle w:val="3"/>
              <w:keepLines w:val="0"/>
              <w:pageBreakBefore w:val="0"/>
              <w:widowControl w:val="0"/>
              <w:kinsoku/>
              <w:wordWrap/>
              <w:topLinePunct w:val="0"/>
              <w:autoSpaceDE/>
              <w:autoSpaceDN/>
              <w:bidi w:val="0"/>
              <w:adjustRightInd/>
              <w:spacing w:before="0" w:after="0" w:line="360" w:lineRule="auto"/>
              <w:ind w:left="0" w:firstLine="480" w:firstLineChars="200"/>
              <w:textAlignment w:val="auto"/>
              <w:rPr>
                <w:rFonts w:hint="default" w:ascii="Times New Roman" w:hAnsi="Times New Roman" w:eastAsia="黑体" w:cs="Times New Roman"/>
                <w:b w:val="0"/>
                <w:bCs w:val="0"/>
                <w:color w:val="auto"/>
                <w:sz w:val="24"/>
                <w:szCs w:val="24"/>
                <w:lang w:val="en-US" w:eastAsia="zh-CN"/>
              </w:rPr>
            </w:pPr>
            <m:oMath>
              <m:sSub>
                <w:bookmarkStart w:id="31" w:name="_Toc28568"/>
                <w:bookmarkStart w:id="32" w:name="_Toc20549"/>
                <w:bookmarkStart w:id="33" w:name="_Toc31700"/>
                <w:bookmarkStart w:id="34" w:name="_Toc31133"/>
                <w:bookmarkStart w:id="35" w:name="_Toc12043"/>
                <m:sSubPr>
                  <m:ctrlPr>
                    <w:rPr>
                      <w:rFonts w:hint="default" w:ascii="Cambria Math" w:hAnsi="Cambria Math" w:cs="Times New Roman"/>
                      <w:b w:val="0"/>
                      <w:bCs w:val="0"/>
                      <w:i/>
                      <w:color w:val="auto"/>
                      <w:sz w:val="24"/>
                      <w:szCs w:val="24"/>
                      <w:lang w:val="en-US"/>
                    </w:rPr>
                  </m:ctrlPr>
                </m:sSubPr>
                <m:e>
                  <m:r>
                    <m:rPr>
                      <m:nor/>
                    </m:rPr>
                    <w:rPr>
                      <w:rFonts w:hint="default" w:ascii="Times New Roman" w:hAnsi="Times New Roman" w:cs="Times New Roman"/>
                      <w:b w:val="0"/>
                      <w:bCs w:val="0"/>
                      <w:i/>
                      <w:color w:val="auto"/>
                      <w:sz w:val="24"/>
                      <w:szCs w:val="24"/>
                      <w:lang w:val="en-US" w:eastAsia="zh-CN"/>
                    </w:rPr>
                    <m:t>V</m:t>
                  </m:r>
                  <m:ctrlPr>
                    <w:rPr>
                      <w:rFonts w:hint="default" w:ascii="Cambria Math" w:hAnsi="Cambria Math" w:cs="Times New Roman"/>
                      <w:b w:val="0"/>
                      <w:bCs w:val="0"/>
                      <w:i/>
                      <w:color w:val="auto"/>
                      <w:sz w:val="24"/>
                      <w:szCs w:val="24"/>
                      <w:lang w:val="en-US"/>
                    </w:rPr>
                  </m:ctrlPr>
                </m:e>
                <m:sub>
                  <m:r>
                    <m:rPr>
                      <m:nor/>
                    </m:rPr>
                    <w:rPr>
                      <w:rFonts w:hint="default" w:ascii="Times New Roman" w:hAnsi="Times New Roman" w:cs="Times New Roman"/>
                      <w:b w:val="0"/>
                      <w:bCs w:val="0"/>
                      <w:i/>
                      <w:color w:val="auto"/>
                      <w:sz w:val="24"/>
                      <w:szCs w:val="24"/>
                      <w:lang w:val="en-US" w:eastAsia="zh-CN"/>
                    </w:rPr>
                    <m:t>g</m:t>
                  </m:r>
                  <m:ctrlPr>
                    <w:rPr>
                      <w:rFonts w:hint="default" w:ascii="Cambria Math" w:hAnsi="Cambria Math" w:cs="Times New Roman"/>
                      <w:b w:val="0"/>
                      <w:bCs w:val="0"/>
                      <w:i/>
                      <w:color w:val="auto"/>
                      <w:sz w:val="24"/>
                      <w:szCs w:val="24"/>
                      <w:lang w:val="en-US"/>
                    </w:rPr>
                  </m:ctrlPr>
                </m:sub>
              </m:sSub>
              <m:r>
                <m:rPr>
                  <m:nor/>
                  <m:sty m:val="p"/>
                </m:rPr>
                <w:rPr>
                  <w:rFonts w:hint="default" w:ascii="Times New Roman" w:hAnsi="Times New Roman" w:cs="Times New Roman"/>
                  <w:b w:val="0"/>
                  <w:bCs w:val="0"/>
                  <w:i w:val="0"/>
                  <w:color w:val="auto"/>
                  <w:sz w:val="24"/>
                  <w:szCs w:val="24"/>
                  <w:lang w:val="en-US" w:eastAsia="zh-CN"/>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RO</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N</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2</m:t>
                      </m:r>
                      <m:ctrlPr>
                        <w:rPr>
                          <w:rFonts w:hint="default" w:ascii="Cambria Math" w:hAnsi="Cambria Math" w:cs="Times New Roman"/>
                          <w:b w:val="0"/>
                          <w:bCs w:val="0"/>
                          <w:color w:val="auto"/>
                          <w:kern w:val="44"/>
                          <w:sz w:val="24"/>
                          <w:szCs w:val="24"/>
                          <w:lang w:val="en-US" w:eastAsia="zh-CN" w:bidi="ar-SA"/>
                        </w:rPr>
                      </m:ctrlPr>
                    </m:sub>
                  </m:sSub>
                  <m:ctrlPr>
                    <w:rPr>
                      <w:rFonts w:hint="default" w:ascii="Cambria Math" w:hAnsi="Cambria Math" w:cs="Times New Roman"/>
                      <w:b w:val="0"/>
                      <w:bCs w:val="0"/>
                      <w:color w:val="auto"/>
                      <w:kern w:val="44"/>
                      <w:sz w:val="24"/>
                      <w:szCs w:val="24"/>
                      <w:lang w:val="en-US" w:eastAsia="zh-CN" w:bidi="ar-SA"/>
                    </w:rPr>
                  </m:ctrlPr>
                </m:sub>
              </m:sSub>
              <m:r>
                <m:rPr>
                  <m:nor/>
                  <m:sty m:val="p"/>
                </m:rPr>
                <w:rPr>
                  <w:rFonts w:hint="default" w:ascii="Times New Roman" w:hAnsi="Times New Roman" w:cs="Times New Roman"/>
                  <w:b w:val="0"/>
                  <w:bCs w:val="0"/>
                  <w:i w:val="0"/>
                  <w:color w:val="auto"/>
                  <w:kern w:val="44"/>
                  <w:sz w:val="24"/>
                  <w:szCs w:val="24"/>
                  <w:lang w:val="en-US" w:eastAsia="zh-CN" w:bidi="ar-SA"/>
                </w:rPr>
                <m:t>+(</m:t>
              </m:r>
              <m:r>
                <m:rPr>
                  <m:nor/>
                  <m:sty m:val="p"/>
                </m:rPr>
                <w:rPr>
                  <w:rFonts w:hint="default" w:ascii="Times New Roman" w:hAnsi="Times New Roman" w:cs="Times New Roman"/>
                  <w:b w:val="0"/>
                  <w:bCs w:val="0"/>
                  <w:i w:val="0"/>
                  <w:color w:val="auto"/>
                  <w:kern w:val="44"/>
                  <w:sz w:val="24"/>
                  <w:szCs w:val="24"/>
                  <w:lang w:val="en-US" w:bidi="ar-SA"/>
                </w:rPr>
                <m:t>α</m:t>
              </m:r>
              <m:r>
                <m:rPr>
                  <m:nor/>
                  <m:sty m:val="p"/>
                </m:rPr>
                <w:rPr>
                  <w:rFonts w:hint="default" w:ascii="Times New Roman" w:hAnsi="Times New Roman" w:cs="Times New Roman"/>
                  <w:b w:val="0"/>
                  <w:bCs w:val="0"/>
                  <w:i w:val="0"/>
                  <w:color w:val="auto"/>
                  <w:kern w:val="44"/>
                  <w:sz w:val="24"/>
                  <w:szCs w:val="24"/>
                  <w:lang w:val="en-US" w:eastAsia="zh-CN" w:bidi="ar-SA"/>
                </w:rPr>
                <m:t>−1)</m:t>
              </m:r>
              <m:sSub>
                <m:sSubPr>
                  <m:ctrlPr>
                    <w:rPr>
                      <w:rFonts w:hint="default" w:ascii="Cambria Math" w:hAnsi="Cambria Math" w:cs="Times New Roman"/>
                      <w:b w:val="0"/>
                      <w:bCs w:val="0"/>
                      <w:color w:val="auto"/>
                      <w:kern w:val="44"/>
                      <w:sz w:val="24"/>
                      <w:szCs w:val="24"/>
                      <w:lang w:val="en-US" w:eastAsia="zh-CN" w:bidi="ar-SA"/>
                    </w:rPr>
                  </m:ctrlPr>
                </m:sSubPr>
                <m:e>
                  <m:r>
                    <m:rPr>
                      <m:nor/>
                      <m:sty m:val="p"/>
                    </m:rPr>
                    <w:rPr>
                      <w:rFonts w:hint="default" w:ascii="Times New Roman" w:hAnsi="Times New Roman" w:cs="Times New Roman"/>
                      <w:b w:val="0"/>
                      <w:bCs w:val="0"/>
                      <w:i w:val="0"/>
                      <w:color w:val="auto"/>
                      <w:kern w:val="44"/>
                      <w:sz w:val="24"/>
                      <w:szCs w:val="24"/>
                      <w:lang w:val="en-US" w:eastAsia="zh-CN" w:bidi="ar-SA"/>
                    </w:rPr>
                    <m:t>V</m:t>
                  </m:r>
                  <m:ctrlPr>
                    <w:rPr>
                      <w:rFonts w:hint="default" w:ascii="Cambria Math" w:hAnsi="Cambria Math" w:cs="Times New Roman"/>
                      <w:b w:val="0"/>
                      <w:bCs w:val="0"/>
                      <w:color w:val="auto"/>
                      <w:kern w:val="44"/>
                      <w:sz w:val="24"/>
                      <w:szCs w:val="24"/>
                      <w:lang w:val="en-US" w:eastAsia="zh-CN" w:bidi="ar-SA"/>
                    </w:rPr>
                  </m:ctrlPr>
                </m:e>
                <m:sub>
                  <m:r>
                    <m:rPr>
                      <m:nor/>
                      <m:sty m:val="p"/>
                    </m:rPr>
                    <w:rPr>
                      <w:rFonts w:hint="default" w:ascii="Times New Roman" w:hAnsi="Times New Roman" w:cs="Times New Roman"/>
                      <w:b w:val="0"/>
                      <w:bCs w:val="0"/>
                      <w:i w:val="0"/>
                      <w:color w:val="auto"/>
                      <w:kern w:val="44"/>
                      <w:sz w:val="24"/>
                      <w:szCs w:val="24"/>
                      <w:lang w:val="en-US" w:eastAsia="zh-CN" w:bidi="ar-SA"/>
                    </w:rPr>
                    <m:t>0</m:t>
                  </m:r>
                  <w:bookmarkEnd w:id="31"/>
                  <w:bookmarkEnd w:id="32"/>
                  <w:bookmarkEnd w:id="33"/>
                  <w:bookmarkEnd w:id="34"/>
                  <m:ctrlPr>
                    <w:rPr>
                      <w:rFonts w:hint="default" w:ascii="Cambria Math" w:hAnsi="Cambria Math" w:cs="Times New Roman"/>
                      <w:b w:val="0"/>
                      <w:bCs w:val="0"/>
                      <w:color w:val="auto"/>
                      <w:kern w:val="44"/>
                      <w:sz w:val="24"/>
                      <w:szCs w:val="24"/>
                      <w:lang w:val="en-US" w:eastAsia="zh-CN" w:bidi="ar-SA"/>
                    </w:rPr>
                  </m:ctrlPr>
                </m:sub>
              </m:sSub>
            </m:oMath>
            <w:bookmarkEnd w:id="35"/>
            <w:r>
              <w:rPr>
                <w:rFonts w:hint="default" w:ascii="Cambria Math" w:hAnsi="Cambria Math" w:cs="Times New Roman"/>
                <w:b w:val="0"/>
                <w:bCs w:val="0"/>
                <w:color w:val="auto"/>
                <w:kern w:val="44"/>
                <w:sz w:val="24"/>
                <w:szCs w:val="24"/>
                <w:lang w:val="en-US" w:eastAsia="zh-CN" w:bidi="ar-SA"/>
              </w:rPr>
              <w:t xml:space="preserve"> </w:t>
            </w:r>
          </w:p>
          <w:p>
            <w:pPr>
              <w:spacing w:line="440" w:lineRule="exact"/>
              <w:ind w:firstLine="480" w:firstLineChars="200"/>
              <w:rPr>
                <w:color w:val="auto"/>
                <w:sz w:val="24"/>
              </w:rPr>
            </w:pPr>
            <w:r>
              <w:rPr>
                <w:rFonts w:hint="eastAsia"/>
                <w:color w:val="auto"/>
                <w:sz w:val="24"/>
              </w:rPr>
              <w:t>式</w:t>
            </w:r>
            <w:r>
              <w:rPr>
                <w:color w:val="auto"/>
                <w:sz w:val="24"/>
              </w:rPr>
              <w:t>中，V</w:t>
            </w:r>
            <w:r>
              <w:rPr>
                <w:color w:val="auto"/>
                <w:sz w:val="24"/>
                <w:vertAlign w:val="subscript"/>
              </w:rPr>
              <w:t>RO2</w:t>
            </w:r>
            <w:r>
              <w:rPr>
                <w:color w:val="auto"/>
                <w:sz w:val="24"/>
              </w:rPr>
              <w:t>——烟气中二氧化碳（V</w:t>
            </w:r>
            <w:r>
              <w:rPr>
                <w:color w:val="auto"/>
                <w:sz w:val="24"/>
                <w:vertAlign w:val="subscript"/>
              </w:rPr>
              <w:t>CO2</w:t>
            </w:r>
            <w:r>
              <w:rPr>
                <w:color w:val="auto"/>
                <w:sz w:val="24"/>
              </w:rPr>
              <w:t>）和二氧化硫（V</w:t>
            </w:r>
            <w:r>
              <w:rPr>
                <w:color w:val="auto"/>
                <w:sz w:val="24"/>
                <w:vertAlign w:val="subscript"/>
              </w:rPr>
              <w:t>SO2</w:t>
            </w:r>
            <w:r>
              <w:rPr>
                <w:color w:val="auto"/>
                <w:sz w:val="24"/>
              </w:rPr>
              <w:t>）容积之和，</w:t>
            </w:r>
            <w:r>
              <w:rPr>
                <w:rFonts w:hint="eastAsia"/>
                <w:color w:val="auto"/>
                <w:sz w:val="24"/>
                <w:lang w:val="en-US" w:eastAsia="zh-CN"/>
              </w:rPr>
              <w:t>经计算为0.72</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Car——收到基碳的质量分数，</w:t>
            </w:r>
            <w:r>
              <w:rPr>
                <w:rFonts w:hint="eastAsia"/>
                <w:color w:val="auto"/>
                <w:sz w:val="24"/>
              </w:rPr>
              <w:t>取38.82</w:t>
            </w:r>
            <w:r>
              <w:rPr>
                <w:color w:val="auto"/>
                <w:sz w:val="24"/>
              </w:rPr>
              <w:t>%；</w:t>
            </w:r>
          </w:p>
          <w:p>
            <w:pPr>
              <w:spacing w:line="440" w:lineRule="exact"/>
              <w:ind w:firstLine="480" w:firstLineChars="200"/>
              <w:rPr>
                <w:color w:val="auto"/>
                <w:sz w:val="24"/>
              </w:rPr>
            </w:pPr>
            <w:r>
              <w:rPr>
                <w:color w:val="auto"/>
                <w:sz w:val="24"/>
              </w:rPr>
              <w:t>Sar——收到基硫的质量分数</w:t>
            </w:r>
            <w:r>
              <w:rPr>
                <w:rFonts w:hint="eastAsia"/>
                <w:color w:val="auto"/>
                <w:sz w:val="24"/>
              </w:rPr>
              <w:t>，</w:t>
            </w:r>
            <w:r>
              <w:rPr>
                <w:color w:val="auto"/>
                <w:sz w:val="24"/>
              </w:rPr>
              <w:t>取</w:t>
            </w:r>
            <w:r>
              <w:rPr>
                <w:rFonts w:hint="eastAsia"/>
                <w:color w:val="auto"/>
                <w:sz w:val="24"/>
              </w:rPr>
              <w:t>0.07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N2</w:t>
            </w:r>
            <w:r>
              <w:rPr>
                <w:color w:val="auto"/>
                <w:sz w:val="24"/>
              </w:rPr>
              <w:t>——烟气中氮气量，m</w:t>
            </w:r>
            <w:r>
              <w:rPr>
                <w:color w:val="auto"/>
                <w:sz w:val="24"/>
                <w:vertAlign w:val="superscript"/>
              </w:rPr>
              <w:t>3</w:t>
            </w:r>
            <w:r>
              <w:rPr>
                <w:color w:val="auto"/>
                <w:sz w:val="24"/>
              </w:rPr>
              <w:t>/kg</w:t>
            </w:r>
            <w:r>
              <w:rPr>
                <w:rFonts w:hint="eastAsia"/>
                <w:color w:val="auto"/>
                <w:sz w:val="24"/>
              </w:rPr>
              <w:t>，经计算为2</w:t>
            </w:r>
            <w:r>
              <w:rPr>
                <w:color w:val="auto"/>
                <w:sz w:val="24"/>
              </w:rPr>
              <w:t>.7</w:t>
            </w:r>
            <w:r>
              <w:rPr>
                <w:rFonts w:hint="eastAsia"/>
                <w:color w:val="auto"/>
                <w:sz w:val="24"/>
                <w:lang w:val="en-US" w:eastAsia="zh-CN"/>
              </w:rPr>
              <w:t>8</w:t>
            </w:r>
            <w:r>
              <w:rPr>
                <w:color w:val="auto"/>
                <w:sz w:val="24"/>
              </w:rPr>
              <w:t>；</w:t>
            </w:r>
          </w:p>
          <w:p>
            <w:pPr>
              <w:spacing w:line="440" w:lineRule="exact"/>
              <w:ind w:firstLine="480" w:firstLineChars="200"/>
              <w:rPr>
                <w:color w:val="auto"/>
                <w:sz w:val="24"/>
              </w:rPr>
            </w:pPr>
            <w:r>
              <w:rPr>
                <w:color w:val="auto"/>
                <w:sz w:val="24"/>
              </w:rPr>
              <w:t>Nar——收到基氮的质量分数，</w:t>
            </w:r>
            <w:r>
              <w:rPr>
                <w:rFonts w:hint="eastAsia"/>
                <w:color w:val="auto"/>
                <w:sz w:val="24"/>
              </w:rPr>
              <w:t>取0.27</w:t>
            </w:r>
            <w:r>
              <w:rPr>
                <w:color w:val="auto"/>
                <w:sz w:val="24"/>
              </w:rPr>
              <w:t>%；</w:t>
            </w:r>
          </w:p>
          <w:p>
            <w:pPr>
              <w:spacing w:line="440" w:lineRule="exact"/>
              <w:ind w:firstLine="480" w:firstLineChars="200"/>
              <w:rPr>
                <w:color w:val="auto"/>
                <w:sz w:val="24"/>
              </w:rPr>
            </w:pPr>
            <w:r>
              <w:rPr>
                <w:color w:val="auto"/>
                <w:sz w:val="24"/>
              </w:rPr>
              <w:t>V</w:t>
            </w:r>
            <w:r>
              <w:rPr>
                <w:color w:val="auto"/>
                <w:sz w:val="24"/>
                <w:vertAlign w:val="subscript"/>
              </w:rPr>
              <w:t>0</w:t>
            </w:r>
            <w:r>
              <w:rPr>
                <w:color w:val="auto"/>
                <w:sz w:val="24"/>
              </w:rPr>
              <w:t>——理论空气量，m</w:t>
            </w:r>
            <w:r>
              <w:rPr>
                <w:color w:val="auto"/>
                <w:sz w:val="24"/>
                <w:vertAlign w:val="superscript"/>
              </w:rPr>
              <w:t>3</w:t>
            </w:r>
            <w:r>
              <w:rPr>
                <w:color w:val="auto"/>
                <w:sz w:val="24"/>
              </w:rPr>
              <w:t>/kg</w:t>
            </w:r>
            <w:r>
              <w:rPr>
                <w:rFonts w:hint="eastAsia"/>
                <w:color w:val="auto"/>
                <w:sz w:val="24"/>
              </w:rPr>
              <w:t>，经计算为3</w:t>
            </w:r>
            <w:r>
              <w:rPr>
                <w:color w:val="auto"/>
                <w:sz w:val="24"/>
              </w:rPr>
              <w:t>.</w:t>
            </w:r>
            <w:r>
              <w:rPr>
                <w:rFonts w:hint="eastAsia"/>
                <w:color w:val="auto"/>
                <w:sz w:val="24"/>
                <w:lang w:val="en-US" w:eastAsia="zh-CN"/>
              </w:rPr>
              <w:t>51</w:t>
            </w:r>
            <w:r>
              <w:rPr>
                <w:color w:val="auto"/>
                <w:sz w:val="24"/>
              </w:rPr>
              <w:t>；</w:t>
            </w:r>
          </w:p>
          <w:p>
            <w:pPr>
              <w:spacing w:line="440" w:lineRule="exact"/>
              <w:ind w:firstLine="480" w:firstLineChars="200"/>
              <w:rPr>
                <w:color w:val="auto"/>
                <w:sz w:val="24"/>
              </w:rPr>
            </w:pPr>
            <w:r>
              <w:rPr>
                <w:color w:val="auto"/>
                <w:sz w:val="24"/>
              </w:rPr>
              <w:t>Vg——干烟气排放量，</w:t>
            </w:r>
            <w:r>
              <w:rPr>
                <w:rFonts w:hint="eastAsia"/>
                <w:color w:val="auto"/>
                <w:sz w:val="24"/>
                <w:lang w:val="en-US" w:eastAsia="zh-CN"/>
              </w:rPr>
              <w:t>经计算为5.9582759</w:t>
            </w:r>
            <w:r>
              <w:rPr>
                <w:color w:val="auto"/>
                <w:sz w:val="24"/>
              </w:rPr>
              <w:t>m</w:t>
            </w:r>
            <w:r>
              <w:rPr>
                <w:color w:val="auto"/>
                <w:sz w:val="24"/>
                <w:vertAlign w:val="superscript"/>
              </w:rPr>
              <w:t>3</w:t>
            </w:r>
            <w:r>
              <w:rPr>
                <w:color w:val="auto"/>
                <w:sz w:val="24"/>
              </w:rPr>
              <w:t>/kg；</w:t>
            </w:r>
          </w:p>
          <w:p>
            <w:pPr>
              <w:spacing w:line="440" w:lineRule="exact"/>
              <w:ind w:firstLine="480" w:firstLineChars="200"/>
              <w:rPr>
                <w:color w:val="auto"/>
                <w:sz w:val="24"/>
              </w:rPr>
            </w:pPr>
            <w:r>
              <w:rPr>
                <w:color w:val="auto"/>
                <w:sz w:val="24"/>
              </w:rPr>
              <w:t>α——过量空气系数，</w:t>
            </w:r>
            <w:r>
              <w:rPr>
                <w:iCs/>
                <w:color w:val="auto"/>
                <w:sz w:val="24"/>
              </w:rPr>
              <w:t>根据</w:t>
            </w:r>
            <w:r>
              <w:rPr>
                <w:rFonts w:hint="eastAsia"/>
                <w:iCs/>
                <w:color w:val="auto"/>
                <w:sz w:val="24"/>
              </w:rPr>
              <w:t>《工业炉窑大气污染物排放标准》</w:t>
            </w:r>
            <w:r>
              <w:rPr>
                <w:rFonts w:hint="eastAsia"/>
                <w:iCs/>
                <w:color w:val="auto"/>
                <w:sz w:val="24"/>
                <w:lang w:eastAsia="zh-CN"/>
              </w:rPr>
              <w:t>（</w:t>
            </w:r>
            <w:r>
              <w:rPr>
                <w:rFonts w:hint="eastAsia"/>
                <w:iCs/>
                <w:color w:val="auto"/>
                <w:sz w:val="24"/>
              </w:rPr>
              <w:t>GB9078-1996</w:t>
            </w:r>
            <w:r>
              <w:rPr>
                <w:rFonts w:hint="eastAsia"/>
                <w:iCs/>
                <w:color w:val="auto"/>
                <w:sz w:val="24"/>
                <w:lang w:eastAsia="zh-CN"/>
              </w:rPr>
              <w:t>）</w:t>
            </w:r>
            <w:r>
              <w:rPr>
                <w:iCs/>
                <w:color w:val="auto"/>
                <w:sz w:val="24"/>
              </w:rPr>
              <w:t>，取1.</w:t>
            </w:r>
            <w:r>
              <w:rPr>
                <w:rFonts w:hint="eastAsia"/>
                <w:iCs/>
                <w:color w:val="auto"/>
                <w:sz w:val="24"/>
                <w:lang w:val="en-US" w:eastAsia="zh-CN"/>
              </w:rPr>
              <w:t>7</w:t>
            </w:r>
            <w:r>
              <w:rPr>
                <w:iCs/>
                <w:color w:val="auto"/>
                <w:sz w:val="24"/>
              </w:rPr>
              <w:t>；</w:t>
            </w:r>
          </w:p>
          <w:p>
            <w:pPr>
              <w:snapToGrid w:val="0"/>
              <w:spacing w:line="360" w:lineRule="auto"/>
              <w:ind w:firstLine="480" w:firstLineChars="200"/>
              <w:rPr>
                <w:color w:val="auto"/>
                <w:sz w:val="24"/>
                <w:highlight w:val="none"/>
              </w:rPr>
            </w:pPr>
            <w:r>
              <w:rPr>
                <w:color w:val="auto"/>
                <w:sz w:val="24"/>
              </w:rPr>
              <w:t>本项目燃料耗量为</w:t>
            </w:r>
            <w:r>
              <w:rPr>
                <w:rFonts w:hint="eastAsia"/>
                <w:color w:val="auto"/>
                <w:sz w:val="24"/>
                <w:lang w:val="en-US" w:eastAsia="zh-CN"/>
              </w:rPr>
              <w:t>1250t/a</w:t>
            </w:r>
            <w:r>
              <w:rPr>
                <w:rFonts w:hint="eastAsia"/>
                <w:color w:val="auto"/>
                <w:sz w:val="24"/>
              </w:rPr>
              <w:t>，</w:t>
            </w:r>
            <w:r>
              <w:rPr>
                <w:color w:val="auto"/>
                <w:sz w:val="24"/>
              </w:rPr>
              <w:t>经计算实际干烟气量</w:t>
            </w:r>
            <w:r>
              <w:rPr>
                <w:rFonts w:hint="eastAsia"/>
                <w:color w:val="auto"/>
                <w:sz w:val="24"/>
              </w:rPr>
              <w:t>为</w:t>
            </w:r>
            <w:r>
              <w:rPr>
                <w:rFonts w:hint="eastAsia"/>
                <w:color w:val="auto"/>
                <w:sz w:val="24"/>
                <w:lang w:val="en-US" w:eastAsia="zh-CN"/>
              </w:rPr>
              <w:t>7447845</w:t>
            </w:r>
            <w:r>
              <w:rPr>
                <w:color w:val="auto"/>
                <w:sz w:val="24"/>
              </w:rPr>
              <w:t>Nm</w:t>
            </w:r>
            <w:r>
              <w:rPr>
                <w:color w:val="auto"/>
                <w:sz w:val="24"/>
                <w:vertAlign w:val="superscript"/>
              </w:rPr>
              <w:t>3</w:t>
            </w:r>
            <w:r>
              <w:rPr>
                <w:color w:val="auto"/>
                <w:sz w:val="24"/>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 xml:space="preserve">b）烟尘排放量按下式计算  </w:t>
            </w:r>
          </w:p>
          <w:p>
            <w:pPr>
              <w:pStyle w:val="11"/>
              <w:shd w:val="clear" w:color="auto" w:fill="auto"/>
              <w:rPr>
                <w:color w:val="auto"/>
                <w:highlight w:val="none"/>
              </w:rPr>
            </w:pPr>
            <w:r>
              <w:rPr>
                <w:color w:val="auto"/>
                <w:sz w:val="24"/>
                <w:highlight w:val="none"/>
              </w:rPr>
              <w:drawing>
                <wp:anchor distT="0" distB="0" distL="114300" distR="114300" simplePos="0" relativeHeight="251672576" behindDoc="1" locked="0" layoutInCell="1" allowOverlap="1">
                  <wp:simplePos x="0" y="0"/>
                  <wp:positionH relativeFrom="column">
                    <wp:posOffset>387350</wp:posOffset>
                  </wp:positionH>
                  <wp:positionV relativeFrom="paragraph">
                    <wp:posOffset>-27940</wp:posOffset>
                  </wp:positionV>
                  <wp:extent cx="2130425" cy="823595"/>
                  <wp:effectExtent l="0" t="0" r="3175" b="14605"/>
                  <wp:wrapNone/>
                  <wp:docPr id="13"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2"/>
                          <pic:cNvPicPr>
                            <a:picLocks noChangeAspect="1"/>
                          </pic:cNvPicPr>
                        </pic:nvPicPr>
                        <pic:blipFill>
                          <a:blip r:embed="rId22"/>
                          <a:srcRect t="-6538" b="-6538"/>
                          <a:stretch>
                            <a:fillRect/>
                          </a:stretch>
                        </pic:blipFill>
                        <pic:spPr>
                          <a:xfrm>
                            <a:off x="0" y="0"/>
                            <a:ext cx="2130425" cy="823595"/>
                          </a:xfrm>
                          <a:prstGeom prst="rect">
                            <a:avLst/>
                          </a:prstGeom>
                          <a:noFill/>
                          <a:ln>
                            <a:noFill/>
                          </a:ln>
                        </pic:spPr>
                      </pic:pic>
                    </a:graphicData>
                  </a:graphic>
                </wp:anchor>
              </w:drawing>
            </w:r>
          </w:p>
          <w:p>
            <w:pPr>
              <w:pStyle w:val="93"/>
              <w:shd w:val="clear" w:color="auto" w:fill="auto"/>
              <w:rPr>
                <w:color w:val="auto"/>
                <w:highlight w:val="none"/>
              </w:rPr>
            </w:pPr>
          </w:p>
          <w:p>
            <w:pPr>
              <w:pStyle w:val="9"/>
              <w:shd w:val="clear" w:color="auto" w:fill="auto"/>
              <w:rPr>
                <w:color w:val="auto"/>
                <w:highlight w:val="none"/>
              </w:rPr>
            </w:pPr>
          </w:p>
          <w:bookmarkEnd w:id="25"/>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adjustRightInd w:val="0"/>
              <w:snapToGrid w:val="0"/>
              <w:spacing w:line="360" w:lineRule="auto"/>
              <w:ind w:firstLine="480" w:firstLineChars="200"/>
              <w:rPr>
                <w:iCs/>
                <w:color w:val="auto"/>
                <w:sz w:val="24"/>
              </w:rPr>
            </w:pPr>
            <w:bookmarkStart w:id="36" w:name="_Hlk65495966"/>
            <w:r>
              <w:rPr>
                <w:i/>
                <w:color w:val="auto"/>
                <w:sz w:val="24"/>
              </w:rPr>
              <w:t>E</w:t>
            </w:r>
            <w:r>
              <w:rPr>
                <w:i/>
                <w:color w:val="auto"/>
                <w:sz w:val="24"/>
                <w:vertAlign w:val="subscript"/>
              </w:rPr>
              <w:t>A</w:t>
            </w:r>
            <w:r>
              <w:rPr>
                <w:iCs/>
                <w:color w:val="auto"/>
                <w:sz w:val="24"/>
              </w:rPr>
              <w:t>——核算时段内颗粒物（烟尘）排放量，t；</w:t>
            </w:r>
          </w:p>
          <w:p>
            <w:pPr>
              <w:adjustRightInd w:val="0"/>
              <w:snapToGrid w:val="0"/>
              <w:spacing w:line="360" w:lineRule="auto"/>
              <w:ind w:firstLine="480" w:firstLineChars="200"/>
              <w:rPr>
                <w:rFonts w:hint="eastAsia" w:eastAsia="宋体"/>
                <w:iCs/>
                <w:color w:val="auto"/>
                <w:sz w:val="24"/>
                <w:lang w:val="en-US" w:eastAsia="zh-CN"/>
              </w:rPr>
            </w:pPr>
            <w:r>
              <w:rPr>
                <w:i/>
                <w:color w:val="auto"/>
                <w:sz w:val="24"/>
              </w:rPr>
              <w:t>R</w:t>
            </w:r>
            <w:r>
              <w:rPr>
                <w:iCs/>
                <w:color w:val="auto"/>
                <w:sz w:val="24"/>
              </w:rPr>
              <w:t>——核算时段内燃</w:t>
            </w:r>
            <w:r>
              <w:rPr>
                <w:rFonts w:hint="eastAsia"/>
                <w:iCs/>
                <w:color w:val="auto"/>
                <w:sz w:val="24"/>
                <w:lang w:eastAsia="zh-CN"/>
              </w:rPr>
              <w:t>料消</w:t>
            </w:r>
            <w:r>
              <w:rPr>
                <w:iCs/>
                <w:color w:val="auto"/>
                <w:sz w:val="24"/>
              </w:rPr>
              <w:t>耗量，</w:t>
            </w:r>
            <w:r>
              <w:rPr>
                <w:rFonts w:hint="eastAsia"/>
                <w:iCs/>
                <w:color w:val="auto"/>
                <w:sz w:val="24"/>
                <w:lang w:val="en-US" w:eastAsia="zh-CN"/>
              </w:rPr>
              <w:t>1250</w:t>
            </w:r>
            <w:r>
              <w:rPr>
                <w:iCs/>
                <w:color w:val="auto"/>
                <w:sz w:val="24"/>
              </w:rPr>
              <w:t>t；</w:t>
            </w:r>
          </w:p>
          <w:p>
            <w:pPr>
              <w:adjustRightInd w:val="0"/>
              <w:snapToGrid w:val="0"/>
              <w:spacing w:line="360" w:lineRule="auto"/>
              <w:ind w:firstLine="480" w:firstLineChars="200"/>
              <w:rPr>
                <w:rFonts w:hint="default"/>
                <w:iCs/>
                <w:color w:val="auto"/>
                <w:sz w:val="24"/>
                <w:lang w:val="en-US"/>
              </w:rPr>
            </w:pPr>
            <w:r>
              <w:rPr>
                <w:rFonts w:hint="eastAsia" w:ascii="Times New Roman" w:hAnsi="Times New Roman" w:eastAsia="宋体" w:cs="Times New Roman"/>
                <w:color w:val="auto"/>
                <w:kern w:val="0"/>
                <w:sz w:val="24"/>
                <w:szCs w:val="20"/>
                <w:lang w:val="en-US" w:eastAsia="zh-CN" w:bidi="ar-SA"/>
              </w:rPr>
              <w:t>A</w:t>
            </w:r>
            <w:r>
              <w:rPr>
                <w:rFonts w:hint="eastAsia" w:ascii="Times New Roman" w:hAnsi="Times New Roman" w:eastAsia="宋体" w:cs="Times New Roman"/>
                <w:color w:val="auto"/>
                <w:kern w:val="0"/>
                <w:sz w:val="24"/>
                <w:szCs w:val="20"/>
                <w:vertAlign w:val="subscript"/>
                <w:lang w:val="en-US" w:eastAsia="zh-CN" w:bidi="ar-SA"/>
              </w:rPr>
              <w:t>ar</w:t>
            </w:r>
            <w:r>
              <w:rPr>
                <w:rFonts w:hint="eastAsia" w:ascii="Times New Roman" w:hAnsi="Times New Roman" w:eastAsia="宋体" w:cs="Times New Roman"/>
                <w:color w:val="auto"/>
                <w:kern w:val="0"/>
                <w:sz w:val="24"/>
                <w:szCs w:val="20"/>
                <w:lang w:val="en-US" w:eastAsia="zh-CN" w:bidi="ar-SA"/>
              </w:rPr>
              <w:t>—收到基灰分的质量分数，%；取16.33</w:t>
            </w:r>
          </w:p>
          <w:p>
            <w:pPr>
              <w:adjustRightInd w:val="0"/>
              <w:snapToGrid w:val="0"/>
              <w:spacing w:line="360" w:lineRule="auto"/>
              <w:ind w:firstLine="480" w:firstLineChars="200"/>
              <w:rPr>
                <w:iCs/>
                <w:color w:val="auto"/>
                <w:sz w:val="24"/>
              </w:rPr>
            </w:pPr>
            <w:r>
              <w:rPr>
                <w:i/>
                <w:color w:val="auto"/>
                <w:sz w:val="24"/>
              </w:rPr>
              <w:t>d</w:t>
            </w:r>
            <w:r>
              <w:rPr>
                <w:i/>
                <w:color w:val="auto"/>
                <w:sz w:val="24"/>
                <w:vertAlign w:val="subscript"/>
              </w:rPr>
              <w:t>fh</w:t>
            </w:r>
            <w:r>
              <w:rPr>
                <w:iCs/>
                <w:color w:val="auto"/>
                <w:sz w:val="24"/>
              </w:rPr>
              <w:t>——烟气带出的飞灰份额，%，</w:t>
            </w:r>
            <w:r>
              <w:rPr>
                <w:rFonts w:hint="eastAsia"/>
                <w:iCs/>
                <w:color w:val="auto"/>
                <w:sz w:val="24"/>
                <w:lang w:val="en-US" w:eastAsia="zh-CN"/>
              </w:rPr>
              <w:t>参考</w:t>
            </w:r>
            <w:r>
              <w:rPr>
                <w:color w:val="auto"/>
                <w:sz w:val="24"/>
              </w:rPr>
              <w:t>《污染源源强核算技术指南 锅炉》（HJ991-2018）表B.2，</w:t>
            </w:r>
            <w:r>
              <w:rPr>
                <w:iCs/>
                <w:color w:val="auto"/>
                <w:sz w:val="24"/>
              </w:rPr>
              <w:t>本项目取</w:t>
            </w:r>
            <w:r>
              <w:rPr>
                <w:rFonts w:hint="eastAsia"/>
                <w:iCs/>
                <w:color w:val="auto"/>
                <w:sz w:val="24"/>
                <w:lang w:val="en-US" w:eastAsia="zh-CN"/>
              </w:rPr>
              <w:t>45</w:t>
            </w:r>
            <w:r>
              <w:rPr>
                <w:iCs/>
                <w:color w:val="auto"/>
                <w:sz w:val="24"/>
              </w:rPr>
              <w:t>；</w:t>
            </w:r>
          </w:p>
          <w:p>
            <w:pPr>
              <w:adjustRightInd w:val="0"/>
              <w:snapToGrid w:val="0"/>
              <w:spacing w:line="360" w:lineRule="auto"/>
              <w:ind w:firstLine="480" w:firstLineChars="200"/>
              <w:rPr>
                <w:iCs/>
                <w:color w:val="auto"/>
                <w:sz w:val="24"/>
              </w:rPr>
            </w:pPr>
            <w:r>
              <w:rPr>
                <w:i/>
                <w:color w:val="auto"/>
                <w:sz w:val="24"/>
              </w:rPr>
              <w:t>η</w:t>
            </w:r>
            <w:r>
              <w:rPr>
                <w:i/>
                <w:color w:val="auto"/>
                <w:sz w:val="24"/>
                <w:vertAlign w:val="subscript"/>
              </w:rPr>
              <w:t>c</w:t>
            </w:r>
            <w:r>
              <w:rPr>
                <w:iCs/>
                <w:color w:val="auto"/>
                <w:sz w:val="24"/>
              </w:rPr>
              <w:t>——综合除尘效率，%，本项目烟气除尘措施为布袋除尘器，取99%；</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iCs/>
                <w:color w:val="auto"/>
                <w:sz w:val="24"/>
              </w:rPr>
              <w:t>C</w:t>
            </w:r>
            <w:r>
              <w:rPr>
                <w:iCs/>
                <w:color w:val="auto"/>
                <w:sz w:val="24"/>
                <w:vertAlign w:val="subscript"/>
              </w:rPr>
              <w:t>fh</w:t>
            </w:r>
            <w:r>
              <w:rPr>
                <w:iCs/>
                <w:color w:val="auto"/>
                <w:sz w:val="24"/>
              </w:rPr>
              <w:t>——飞灰中的可燃物含量，%，本项目取1</w:t>
            </w:r>
            <w:r>
              <w:rPr>
                <w:rFonts w:hint="eastAsia"/>
                <w:iCs/>
                <w:color w:val="auto"/>
                <w:sz w:val="24"/>
                <w:lang w:val="en-US" w:eastAsia="zh-CN"/>
              </w:rPr>
              <w:t>0</w:t>
            </w:r>
            <w:r>
              <w:rPr>
                <w:iCs/>
                <w:color w:val="auto"/>
                <w:sz w:val="24"/>
              </w:rPr>
              <w:t>%</w:t>
            </w:r>
            <w:r>
              <w:rPr>
                <w:rFonts w:hint="eastAsia"/>
                <w:iCs/>
                <w:color w:val="auto"/>
                <w:sz w:val="24"/>
                <w:lang w:eastAsia="zh-CN"/>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c）二氧化硫排放量按下式计算</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drawing>
                <wp:anchor distT="0" distB="0" distL="114300" distR="114300" simplePos="0" relativeHeight="251673600" behindDoc="1" locked="0" layoutInCell="1" allowOverlap="1">
                  <wp:simplePos x="0" y="0"/>
                  <wp:positionH relativeFrom="column">
                    <wp:posOffset>496570</wp:posOffset>
                  </wp:positionH>
                  <wp:positionV relativeFrom="paragraph">
                    <wp:posOffset>-29845</wp:posOffset>
                  </wp:positionV>
                  <wp:extent cx="3218815" cy="483870"/>
                  <wp:effectExtent l="0" t="0" r="635" b="11430"/>
                  <wp:wrapNone/>
                  <wp:docPr id="14"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8"/>
                          <pic:cNvPicPr>
                            <a:picLocks noChangeAspect="1"/>
                          </pic:cNvPicPr>
                        </pic:nvPicPr>
                        <pic:blipFill>
                          <a:blip r:embed="rId23"/>
                          <a:srcRect t="3656" b="14409"/>
                          <a:stretch>
                            <a:fillRect/>
                          </a:stretch>
                        </pic:blipFill>
                        <pic:spPr>
                          <a:xfrm>
                            <a:off x="0" y="0"/>
                            <a:ext cx="3218815" cy="483870"/>
                          </a:xfrm>
                          <a:prstGeom prst="rect">
                            <a:avLst/>
                          </a:prstGeom>
                          <a:noFill/>
                          <a:ln>
                            <a:noFill/>
                          </a:ln>
                        </pic:spPr>
                      </pic:pic>
                    </a:graphicData>
                  </a:graphic>
                </wp:anchor>
              </w:drawing>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式中：</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E</w:t>
            </w:r>
            <w:r>
              <w:rPr>
                <w:color w:val="auto"/>
                <w:sz w:val="24"/>
                <w:highlight w:val="none"/>
                <w:vertAlign w:val="subscript"/>
              </w:rPr>
              <w:t>SO2</w:t>
            </w:r>
            <w:r>
              <w:rPr>
                <w:color w:val="auto"/>
                <w:sz w:val="24"/>
                <w:highlight w:val="none"/>
              </w:rPr>
              <w:t>——核算时段内SO</w:t>
            </w:r>
            <w:r>
              <w:rPr>
                <w:color w:val="auto"/>
                <w:sz w:val="24"/>
                <w:highlight w:val="none"/>
                <w:vertAlign w:val="subscript"/>
              </w:rPr>
              <w:t>2</w:t>
            </w:r>
            <w:r>
              <w:rPr>
                <w:color w:val="auto"/>
                <w:sz w:val="24"/>
                <w:highlight w:val="none"/>
              </w:rPr>
              <w:t>排放量，t；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R——核算时段内锅炉燃料耗量，</w:t>
            </w:r>
            <w:r>
              <w:rPr>
                <w:rFonts w:hint="eastAsia"/>
                <w:color w:val="auto"/>
                <w:sz w:val="24"/>
                <w:highlight w:val="none"/>
              </w:rPr>
              <w:t>生物质燃料</w:t>
            </w:r>
            <w:r>
              <w:rPr>
                <w:color w:val="auto"/>
                <w:sz w:val="24"/>
                <w:highlight w:val="none"/>
              </w:rPr>
              <w:t>量</w:t>
            </w:r>
            <w:r>
              <w:rPr>
                <w:rFonts w:hint="eastAsia"/>
                <w:color w:val="auto"/>
                <w:sz w:val="24"/>
                <w:highlight w:val="none"/>
              </w:rPr>
              <w:t>为</w:t>
            </w:r>
            <w:r>
              <w:rPr>
                <w:rFonts w:hint="eastAsia" w:cs="Times New Roman"/>
                <w:color w:val="auto"/>
                <w:kern w:val="0"/>
                <w:sz w:val="24"/>
                <w:szCs w:val="24"/>
                <w:lang w:val="en-US" w:eastAsia="zh-CN"/>
              </w:rPr>
              <w:t>1250</w:t>
            </w:r>
            <w:r>
              <w:rPr>
                <w:rFonts w:hint="eastAsia"/>
                <w:color w:val="auto"/>
                <w:sz w:val="24"/>
                <w:highlight w:val="none"/>
              </w:rPr>
              <w:t>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Sar——收到基硫分的质量分数，</w:t>
            </w:r>
            <w:r>
              <w:rPr>
                <w:rFonts w:hint="eastAsia"/>
                <w:color w:val="auto"/>
                <w:sz w:val="24"/>
                <w:highlight w:val="none"/>
              </w:rPr>
              <w:t>0.0</w:t>
            </w:r>
            <w:r>
              <w:rPr>
                <w:rFonts w:hint="eastAsia"/>
                <w:color w:val="auto"/>
                <w:sz w:val="24"/>
                <w:highlight w:val="none"/>
                <w:lang w:val="en-US" w:eastAsia="zh-CN"/>
              </w:rPr>
              <w:t>7</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q</w:t>
            </w:r>
            <w:r>
              <w:rPr>
                <w:color w:val="auto"/>
                <w:sz w:val="24"/>
                <w:highlight w:val="none"/>
                <w:vertAlign w:val="subscript"/>
              </w:rPr>
              <w:t>4</w:t>
            </w:r>
            <w:r>
              <w:rPr>
                <w:color w:val="auto"/>
                <w:sz w:val="24"/>
                <w:highlight w:val="none"/>
              </w:rPr>
              <w:t>——锅炉机械不完全燃烧热损失，</w:t>
            </w:r>
            <w:r>
              <w:rPr>
                <w:rFonts w:hint="eastAsia"/>
                <w:color w:val="auto"/>
                <w:sz w:val="24"/>
                <w:highlight w:val="none"/>
              </w:rPr>
              <w:t>取</w:t>
            </w:r>
            <w:r>
              <w:rPr>
                <w:color w:val="auto"/>
                <w:sz w:val="24"/>
                <w:highlight w:val="none"/>
              </w:rPr>
              <w:t>10</w:t>
            </w:r>
            <w:r>
              <w:rPr>
                <w:b/>
                <w:color w:val="auto"/>
                <w:sz w:val="24"/>
                <w:highlight w:val="none"/>
              </w:rPr>
              <w:t>%</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ηs——脱硫效率，取</w:t>
            </w:r>
            <w:r>
              <w:rPr>
                <w:rFonts w:hint="eastAsia"/>
                <w:color w:val="auto"/>
                <w:sz w:val="24"/>
                <w:highlight w:val="none"/>
              </w:rPr>
              <w:t>0</w:t>
            </w:r>
            <w:r>
              <w:rPr>
                <w:color w:val="auto"/>
                <w:sz w:val="24"/>
                <w:highlight w:val="none"/>
              </w:rPr>
              <w:t>%；</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K——燃料中的硫燃烧后氧化成二氧化硫的份额，</w:t>
            </w:r>
            <w:r>
              <w:rPr>
                <w:rFonts w:hint="eastAsia"/>
                <w:color w:val="auto"/>
                <w:sz w:val="24"/>
                <w:highlight w:val="none"/>
              </w:rPr>
              <w:t>本环评取</w:t>
            </w:r>
            <w:r>
              <w:rPr>
                <w:color w:val="auto"/>
                <w:sz w:val="24"/>
                <w:highlight w:val="none"/>
              </w:rPr>
              <w:t>0.4；</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color w:val="auto"/>
                <w:sz w:val="24"/>
                <w:highlight w:val="none"/>
              </w:rPr>
            </w:pPr>
            <w:r>
              <w:rPr>
                <w:color w:val="auto"/>
                <w:sz w:val="24"/>
                <w:highlight w:val="none"/>
              </w:rPr>
              <w:t>d）氮氧化物排放量</w:t>
            </w:r>
          </w:p>
          <w:p>
            <w:pPr>
              <w:keepNext w:val="0"/>
              <w:keepLines w:val="0"/>
              <w:pageBreakBefore w:val="0"/>
              <w:shd w:val="clear" w:color="auto" w:fill="auto"/>
              <w:kinsoku/>
              <w:wordWrap/>
              <w:overflowPunct/>
              <w:topLinePunct w:val="0"/>
              <w:autoSpaceDE/>
              <w:autoSpaceDN/>
              <w:bidi w:val="0"/>
              <w:spacing w:line="360" w:lineRule="auto"/>
              <w:ind w:firstLine="420" w:firstLineChars="200"/>
              <w:textAlignment w:val="auto"/>
              <w:rPr>
                <w:color w:val="auto"/>
              </w:rPr>
            </w:pPr>
            <w:r>
              <w:rPr>
                <w:color w:val="auto"/>
              </w:rPr>
              <w:drawing>
                <wp:inline distT="0" distB="0" distL="114300" distR="114300">
                  <wp:extent cx="3152775" cy="657225"/>
                  <wp:effectExtent l="0" t="0" r="9525" b="9525"/>
                  <wp:docPr id="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pic:cNvPicPr>
                            <a:picLocks noChangeAspect="1"/>
                          </pic:cNvPicPr>
                        </pic:nvPicPr>
                        <pic:blipFill>
                          <a:blip r:embed="rId24"/>
                          <a:stretch>
                            <a:fillRect/>
                          </a:stretch>
                        </pic:blipFill>
                        <pic:spPr>
                          <a:xfrm>
                            <a:off x="0" y="0"/>
                            <a:ext cx="3152775" cy="657225"/>
                          </a:xfrm>
                          <a:prstGeom prst="rect">
                            <a:avLst/>
                          </a:prstGeom>
                          <a:noFill/>
                          <a:ln>
                            <a:noFill/>
                          </a:ln>
                        </pic:spPr>
                      </pic:pic>
                    </a:graphicData>
                  </a:graphic>
                </wp:inline>
              </w:drawing>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式中： E</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 xml:space="preserve">——核算时段内氮氧化物排放量，t；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ρ</w:t>
            </w:r>
            <w:r>
              <w:rPr>
                <w:rFonts w:hint="default" w:ascii="Times New Roman" w:hAnsi="Times New Roman" w:eastAsia="宋体" w:cs="Times New Roman"/>
                <w:color w:val="auto"/>
                <w:kern w:val="0"/>
                <w:sz w:val="24"/>
                <w:szCs w:val="24"/>
                <w:vertAlign w:val="subscript"/>
                <w:lang w:val="en-US" w:eastAsia="zh-CN" w:bidi="ar"/>
              </w:rPr>
              <w:t>NOx</w:t>
            </w:r>
            <w:r>
              <w:rPr>
                <w:rFonts w:hint="default" w:ascii="Times New Roman" w:hAnsi="Times New Roman" w:eastAsia="宋体" w:cs="Times New Roman"/>
                <w:color w:val="auto"/>
                <w:kern w:val="0"/>
                <w:sz w:val="24"/>
                <w:szCs w:val="24"/>
                <w:lang w:val="en-US" w:eastAsia="zh-CN" w:bidi="ar"/>
              </w:rPr>
              <w:t>——炉膛出口氮氧化物质量浓度，</w:t>
            </w:r>
            <w:r>
              <w:rPr>
                <w:rFonts w:hint="eastAsia" w:cs="Times New Roman"/>
                <w:color w:val="auto"/>
                <w:kern w:val="0"/>
                <w:sz w:val="24"/>
                <w:szCs w:val="24"/>
                <w:lang w:val="en-US" w:eastAsia="zh-CN" w:bidi="ar"/>
              </w:rPr>
              <w:t>产生浓度180</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本环评取1</w:t>
            </w:r>
            <w:r>
              <w:rPr>
                <w:rFonts w:hint="eastAsia" w:cs="Times New Roman"/>
                <w:color w:val="auto"/>
                <w:kern w:val="0"/>
                <w:sz w:val="24"/>
                <w:szCs w:val="24"/>
                <w:lang w:val="en-US" w:eastAsia="zh-CN" w:bidi="ar"/>
              </w:rPr>
              <w:t>26</w:t>
            </w:r>
            <w:r>
              <w:rPr>
                <w:rFonts w:hint="default" w:ascii="Times New Roman" w:hAnsi="Times New Roman" w:eastAsia="宋体" w:cs="Times New Roman"/>
                <w:color w:val="auto"/>
                <w:kern w:val="0"/>
                <w:sz w:val="24"/>
                <w:szCs w:val="24"/>
                <w:lang w:val="en-US" w:eastAsia="zh-CN" w:bidi="ar"/>
              </w:rPr>
              <w:t>mg/m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Q——干烟气排放量，为</w:t>
            </w:r>
            <w:r>
              <w:rPr>
                <w:rFonts w:hint="eastAsia" w:cs="Times New Roman"/>
                <w:color w:val="auto"/>
                <w:kern w:val="0"/>
                <w:sz w:val="24"/>
                <w:szCs w:val="24"/>
                <w:lang w:val="en-US" w:eastAsia="zh-CN" w:bidi="ar"/>
              </w:rPr>
              <w:t>7447845</w:t>
            </w:r>
            <w:r>
              <w:rPr>
                <w:rFonts w:hint="default" w:ascii="Times New Roman" w:hAnsi="Times New Roman" w:eastAsia="宋体" w:cs="Times New Roman"/>
                <w:color w:val="auto"/>
                <w:kern w:val="0"/>
                <w:sz w:val="24"/>
                <w:szCs w:val="24"/>
                <w:lang w:val="en-US" w:eastAsia="zh-CN" w:bidi="ar"/>
              </w:rPr>
              <w:t>Nm</w:t>
            </w:r>
            <w:r>
              <w:rPr>
                <w:rFonts w:hint="default" w:ascii="Times New Roman" w:hAnsi="Times New Roman" w:eastAsia="宋体" w:cs="Times New Roman"/>
                <w:color w:val="auto"/>
                <w:kern w:val="0"/>
                <w:sz w:val="24"/>
                <w:szCs w:val="24"/>
                <w:vertAlign w:val="superscript"/>
                <w:lang w:val="en-US" w:eastAsia="zh-CN" w:bidi="ar"/>
              </w:rPr>
              <w:t xml:space="preserve">3 </w:t>
            </w:r>
            <w:r>
              <w:rPr>
                <w:rFonts w:hint="default" w:ascii="Times New Roman" w:hAnsi="Times New Roman" w:eastAsia="宋体" w:cs="Times New Roman"/>
                <w:color w:val="auto"/>
                <w:kern w:val="0"/>
                <w:sz w:val="24"/>
                <w:szCs w:val="24"/>
                <w:lang w:val="en-US" w:eastAsia="zh-CN" w:bidi="ar"/>
              </w:rPr>
              <w:t xml:space="preserve">/a；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kern w:val="0"/>
                <w:sz w:val="24"/>
                <w:szCs w:val="24"/>
                <w:lang w:val="en-US" w:eastAsia="zh-CN" w:bidi="ar"/>
              </w:rPr>
              <w:t>ηNOx——</w:t>
            </w:r>
            <w:r>
              <w:rPr>
                <w:rFonts w:hint="eastAsia" w:cs="Times New Roman"/>
                <w:color w:val="auto"/>
                <w:kern w:val="0"/>
                <w:sz w:val="24"/>
                <w:szCs w:val="24"/>
                <w:lang w:val="en-US" w:eastAsia="zh-CN" w:bidi="ar"/>
              </w:rPr>
              <w:t>采用低氮燃烧技术，从源头控制NOx产生，控制效率为30%，</w:t>
            </w:r>
            <w:r>
              <w:rPr>
                <w:rFonts w:hint="default" w:ascii="Times New Roman" w:hAnsi="Times New Roman" w:eastAsia="宋体" w:cs="Times New Roman"/>
                <w:color w:val="auto"/>
                <w:kern w:val="0"/>
                <w:sz w:val="24"/>
                <w:szCs w:val="24"/>
                <w:lang w:val="en-US" w:eastAsia="zh-CN" w:bidi="ar"/>
              </w:rPr>
              <w:t>脱硝效率，取</w:t>
            </w:r>
            <w:r>
              <w:rPr>
                <w:rFonts w:hint="eastAsia" w:cs="Times New Roman"/>
                <w:color w:val="auto"/>
                <w:kern w:val="0"/>
                <w:sz w:val="24"/>
                <w:szCs w:val="24"/>
                <w:lang w:val="en-US" w:eastAsia="zh-CN" w:bidi="ar"/>
              </w:rPr>
              <w:t>0</w:t>
            </w:r>
            <w:r>
              <w:rPr>
                <w:rFonts w:hint="default" w:ascii="Times New Roman" w:hAnsi="Times New Roman" w:eastAsia="宋体" w:cs="Times New Roman"/>
                <w:color w:val="auto"/>
                <w:kern w:val="0"/>
                <w:sz w:val="24"/>
                <w:szCs w:val="24"/>
                <w:lang w:val="en-US" w:eastAsia="zh-CN" w:bidi="ar"/>
              </w:rPr>
              <w:t xml:space="preserve">%； </w:t>
            </w:r>
          </w:p>
          <w:bookmarkEnd w:id="36"/>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eastAsia"/>
                <w:color w:val="auto"/>
                <w:sz w:val="24"/>
                <w:highlight w:val="none"/>
                <w:lang w:val="en-US" w:eastAsia="zh-CN"/>
              </w:rPr>
            </w:pPr>
            <w:r>
              <w:rPr>
                <w:rFonts w:hint="eastAsia"/>
                <w:color w:val="auto"/>
                <w:sz w:val="24"/>
                <w:highlight w:val="none"/>
                <w:lang w:val="en-US" w:eastAsia="zh-CN"/>
              </w:rPr>
              <w:t>e）烟气黑度</w:t>
            </w:r>
          </w:p>
          <w:p>
            <w:pPr>
              <w:keepNext w:val="0"/>
              <w:keepLines w:val="0"/>
              <w:pageBreakBefore w:val="0"/>
              <w:shd w:val="clear" w:color="auto" w:fill="auto"/>
              <w:kinsoku/>
              <w:wordWrap/>
              <w:overflowPunct/>
              <w:topLinePunct w:val="0"/>
              <w:autoSpaceDE/>
              <w:autoSpaceDN/>
              <w:bidi w:val="0"/>
              <w:spacing w:line="360" w:lineRule="auto"/>
              <w:ind w:firstLine="480" w:firstLineChars="200"/>
              <w:textAlignment w:val="auto"/>
              <w:rPr>
                <w:rFonts w:hint="default"/>
                <w:color w:val="auto"/>
                <w:sz w:val="24"/>
                <w:highlight w:val="none"/>
                <w:lang w:val="en-US" w:eastAsia="zh-CN"/>
              </w:rPr>
            </w:pPr>
            <w:r>
              <w:rPr>
                <w:rFonts w:hint="eastAsia"/>
                <w:color w:val="auto"/>
                <w:sz w:val="24"/>
                <w:highlight w:val="none"/>
                <w:lang w:val="en-US" w:eastAsia="zh-CN"/>
              </w:rPr>
              <w:t>参照同类项目，在采取布袋除尘器处理后，烟气黑度小于1。</w:t>
            </w:r>
          </w:p>
          <w:p>
            <w:pPr>
              <w:keepNext w:val="0"/>
              <w:keepLines w:val="0"/>
              <w:pageBreakBefore w:val="0"/>
              <w:widowControl w:val="0"/>
              <w:shd w:val="clear" w:color="auto" w:fill="auto"/>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kern w:val="0"/>
                <w:sz w:val="21"/>
                <w:szCs w:val="21"/>
                <w:highlight w:val="none"/>
              </w:rPr>
            </w:pPr>
            <w:r>
              <w:rPr>
                <w:rFonts w:hint="default" w:ascii="Times New Roman" w:hAnsi="Times New Roman" w:eastAsia="宋体" w:cs="Times New Roman"/>
                <w:b/>
                <w:bCs/>
                <w:color w:val="auto"/>
                <w:kern w:val="0"/>
                <w:sz w:val="21"/>
                <w:szCs w:val="21"/>
                <w:highlight w:val="none"/>
              </w:rPr>
              <w:t>表</w:t>
            </w:r>
            <w:r>
              <w:rPr>
                <w:rFonts w:hint="eastAsia" w:ascii="Times New Roman" w:hAnsi="Times New Roman" w:eastAsia="宋体" w:cs="Times New Roman"/>
                <w:b/>
                <w:bCs/>
                <w:color w:val="auto"/>
                <w:kern w:val="0"/>
                <w:sz w:val="21"/>
                <w:szCs w:val="21"/>
                <w:highlight w:val="none"/>
                <w:lang w:val="en-US" w:eastAsia="zh-CN"/>
              </w:rPr>
              <w:t>4</w:t>
            </w:r>
            <w:r>
              <w:rPr>
                <w:rFonts w:hint="default" w:ascii="Times New Roman" w:hAnsi="Times New Roman" w:eastAsia="宋体" w:cs="Times New Roman"/>
                <w:b/>
                <w:bCs/>
                <w:color w:val="auto"/>
                <w:kern w:val="0"/>
                <w:sz w:val="21"/>
                <w:szCs w:val="21"/>
                <w:highlight w:val="none"/>
              </w:rPr>
              <w:t>-</w:t>
            </w:r>
            <w:r>
              <w:rPr>
                <w:rFonts w:hint="eastAsia" w:ascii="Times New Roman" w:hAnsi="Times New Roman" w:eastAsia="宋体" w:cs="Times New Roman"/>
                <w:b/>
                <w:bCs/>
                <w:color w:val="auto"/>
                <w:kern w:val="0"/>
                <w:sz w:val="21"/>
                <w:szCs w:val="21"/>
                <w:highlight w:val="none"/>
                <w:lang w:val="en-US" w:eastAsia="zh-CN"/>
              </w:rPr>
              <w:t>1</w:t>
            </w:r>
            <w:r>
              <w:rPr>
                <w:rFonts w:hint="default" w:ascii="Times New Roman" w:hAnsi="Times New Roman" w:eastAsia="宋体" w:cs="Times New Roman"/>
                <w:b/>
                <w:bCs/>
                <w:color w:val="auto"/>
                <w:kern w:val="0"/>
                <w:sz w:val="21"/>
                <w:szCs w:val="21"/>
                <w:highlight w:val="none"/>
              </w:rPr>
              <w:t xml:space="preserve">  </w:t>
            </w:r>
            <w:r>
              <w:rPr>
                <w:rFonts w:hint="eastAsia" w:ascii="Times New Roman" w:hAnsi="Times New Roman" w:eastAsia="宋体" w:cs="Times New Roman"/>
                <w:b/>
                <w:bCs/>
                <w:color w:val="auto"/>
                <w:kern w:val="0"/>
                <w:sz w:val="21"/>
                <w:szCs w:val="21"/>
                <w:highlight w:val="none"/>
                <w:lang w:val="en-US" w:eastAsia="zh-CN"/>
              </w:rPr>
              <w:t>热风炉</w:t>
            </w:r>
            <w:r>
              <w:rPr>
                <w:rFonts w:hint="default" w:ascii="Times New Roman" w:hAnsi="Times New Roman" w:eastAsia="宋体" w:cs="Times New Roman"/>
                <w:b/>
                <w:bCs/>
                <w:color w:val="auto"/>
                <w:kern w:val="0"/>
                <w:sz w:val="21"/>
                <w:szCs w:val="21"/>
                <w:highlight w:val="none"/>
              </w:rPr>
              <w:t>燃烧废气排放情况  （单位：mg/m</w:t>
            </w:r>
            <w:r>
              <w:rPr>
                <w:rFonts w:hint="default" w:ascii="Times New Roman" w:hAnsi="Times New Roman" w:eastAsia="宋体" w:cs="Times New Roman"/>
                <w:b/>
                <w:bCs/>
                <w:color w:val="auto"/>
                <w:kern w:val="0"/>
                <w:sz w:val="21"/>
                <w:szCs w:val="21"/>
                <w:highlight w:val="none"/>
                <w:vertAlign w:val="superscript"/>
              </w:rPr>
              <w:t>3</w:t>
            </w:r>
            <w:r>
              <w:rPr>
                <w:rFonts w:hint="default" w:ascii="Times New Roman" w:hAnsi="Times New Roman" w:eastAsia="宋体" w:cs="Times New Roman"/>
                <w:b/>
                <w:bCs/>
                <w:color w:val="auto"/>
                <w:kern w:val="0"/>
                <w:sz w:val="21"/>
                <w:szCs w:val="21"/>
                <w:highlight w:val="none"/>
              </w:rPr>
              <w:t>）</w:t>
            </w:r>
          </w:p>
          <w:tbl>
            <w:tblPr>
              <w:tblStyle w:val="30"/>
              <w:tblW w:w="8662"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718"/>
              <w:gridCol w:w="2239"/>
              <w:gridCol w:w="75"/>
              <w:gridCol w:w="2164"/>
              <w:gridCol w:w="151"/>
              <w:gridCol w:w="2315"/>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污染物</w:t>
                  </w:r>
                </w:p>
              </w:tc>
              <w:tc>
                <w:tcPr>
                  <w:tcW w:w="2314"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w:t>
                  </w:r>
                  <w:r>
                    <w:rPr>
                      <w:rFonts w:hint="eastAsia" w:ascii="Times New Roman" w:hAnsi="Times New Roman"/>
                      <w:b/>
                      <w:bCs/>
                      <w:color w:val="auto"/>
                      <w:highlight w:val="none"/>
                      <w:lang w:val="en-US" w:eastAsia="zh-CN"/>
                    </w:rPr>
                    <w:t>速率</w:t>
                  </w:r>
                  <w:r>
                    <w:rPr>
                      <w:rFonts w:hint="eastAsia" w:ascii="Times New Roman" w:hAnsi="Times New Roman"/>
                      <w:b/>
                      <w:bCs/>
                      <w:color w:val="auto"/>
                      <w:highlight w:val="none"/>
                    </w:rPr>
                    <w:t>（</w:t>
                  </w:r>
                  <w:r>
                    <w:rPr>
                      <w:rFonts w:ascii="Times New Roman" w:hAnsi="Times New Roman"/>
                      <w:b/>
                      <w:bCs/>
                      <w:color w:val="auto"/>
                      <w:highlight w:val="none"/>
                    </w:rPr>
                    <w:t>kg/h</w:t>
                  </w:r>
                  <w:r>
                    <w:rPr>
                      <w:rFonts w:hint="eastAsia" w:ascii="Times New Roman" w:hAnsi="Times New Roman"/>
                      <w:b/>
                      <w:bCs/>
                      <w:color w:val="auto"/>
                      <w:highlight w:val="none"/>
                    </w:rPr>
                    <w:t>）</w:t>
                  </w:r>
                </w:p>
              </w:tc>
              <w:tc>
                <w:tcPr>
                  <w:tcW w:w="2315" w:type="dxa"/>
                  <w:gridSpan w:val="2"/>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排放量</w:t>
                  </w:r>
                  <w:r>
                    <w:rPr>
                      <w:rFonts w:hint="eastAsia" w:ascii="Times New Roman" w:hAnsi="Times New Roman"/>
                      <w:b/>
                      <w:bCs/>
                      <w:color w:val="auto"/>
                      <w:highlight w:val="none"/>
                    </w:rPr>
                    <w:t>（</w:t>
                  </w:r>
                  <w:r>
                    <w:rPr>
                      <w:rFonts w:ascii="Times New Roman" w:hAnsi="Times New Roman"/>
                      <w:b/>
                      <w:bCs/>
                      <w:color w:val="auto"/>
                      <w:highlight w:val="none"/>
                    </w:rPr>
                    <w:t>t/a</w:t>
                  </w:r>
                  <w:r>
                    <w:rPr>
                      <w:rFonts w:hint="eastAsia" w:ascii="Times New Roman" w:hAnsi="Times New Roman"/>
                      <w:b/>
                      <w:bCs/>
                      <w:color w:val="auto"/>
                      <w:highlight w:val="none"/>
                    </w:rPr>
                    <w:t>）</w:t>
                  </w:r>
                </w:p>
              </w:tc>
              <w:tc>
                <w:tcPr>
                  <w:tcW w:w="2315" w:type="dxa"/>
                  <w:noWrap w:val="0"/>
                  <w:vAlign w:val="center"/>
                </w:tcPr>
                <w:p>
                  <w:pPr>
                    <w:pStyle w:val="94"/>
                    <w:shd w:val="clear" w:color="auto" w:fill="auto"/>
                    <w:rPr>
                      <w:rFonts w:ascii="Times New Roman" w:hAnsi="Times New Roman"/>
                      <w:b/>
                      <w:bCs/>
                      <w:color w:val="auto"/>
                      <w:highlight w:val="none"/>
                    </w:rPr>
                  </w:pPr>
                  <w:r>
                    <w:rPr>
                      <w:rFonts w:ascii="Times New Roman" w:hAnsi="Times New Roman"/>
                      <w:b/>
                      <w:bCs/>
                      <w:color w:val="auto"/>
                      <w:highlight w:val="none"/>
                    </w:rPr>
                    <w:t>排放浓度</w:t>
                  </w:r>
                  <w:r>
                    <w:rPr>
                      <w:rFonts w:hint="eastAsia" w:ascii="Times New Roman" w:hAnsi="Times New Roman"/>
                      <w:b/>
                      <w:bCs/>
                      <w:color w:val="auto"/>
                      <w:highlight w:val="none"/>
                    </w:rPr>
                    <w:t>（</w:t>
                  </w:r>
                  <w:r>
                    <w:rPr>
                      <w:rFonts w:ascii="Times New Roman" w:hAnsi="Times New Roman"/>
                      <w:b/>
                      <w:bCs/>
                      <w:color w:val="auto"/>
                      <w:highlight w:val="none"/>
                    </w:rPr>
                    <w:t>mg/m</w:t>
                  </w:r>
                  <w:r>
                    <w:rPr>
                      <w:rFonts w:ascii="Times New Roman" w:hAnsi="Times New Roman"/>
                      <w:b/>
                      <w:bCs/>
                      <w:color w:val="auto"/>
                      <w:highlight w:val="none"/>
                      <w:vertAlign w:val="superscript"/>
                    </w:rPr>
                    <w:t>3</w:t>
                  </w:r>
                  <w:r>
                    <w:rPr>
                      <w:rFonts w:hint="eastAsia" w:ascii="Times New Roman" w:hAnsi="Times New Roman"/>
                      <w:b/>
                      <w:bCs/>
                      <w:color w:val="auto"/>
                      <w:highlight w:val="none"/>
                    </w:rPr>
                    <w:t>）</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282"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烟气量</w:t>
                  </w:r>
                </w:p>
              </w:tc>
              <w:tc>
                <w:tcPr>
                  <w:tcW w:w="6944" w:type="dxa"/>
                  <w:gridSpan w:val="5"/>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744784</w:t>
                  </w:r>
                  <w:r>
                    <w:rPr>
                      <w:rFonts w:hint="eastAsia" w:ascii="Times New Roman" w:hAnsi="Times New Roman" w:eastAsia="宋体" w:cs="Times New Roman"/>
                      <w:i w:val="0"/>
                      <w:iCs w:val="0"/>
                      <w:color w:val="auto"/>
                      <w:kern w:val="0"/>
                      <w:sz w:val="21"/>
                      <w:szCs w:val="21"/>
                      <w:u w:val="none"/>
                      <w:lang w:val="en-US" w:eastAsia="zh-CN" w:bidi="ar"/>
                    </w:rPr>
                    <w:t>5</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颗粒物</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1.418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1.021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137.036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SO</w:t>
                  </w:r>
                  <w:r>
                    <w:rPr>
                      <w:rFonts w:ascii="Times New Roman" w:hAnsi="Times New Roman"/>
                      <w:color w:val="auto"/>
                      <w:highlight w:val="none"/>
                      <w:vertAlign w:val="subscript"/>
                    </w:rPr>
                    <w:t>2</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0.875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0.630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84.588 </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305" w:hRule="atLeast"/>
              </w:trPr>
              <w:tc>
                <w:tcPr>
                  <w:tcW w:w="1718" w:type="dxa"/>
                  <w:noWrap w:val="0"/>
                  <w:vAlign w:val="center"/>
                </w:tcPr>
                <w:p>
                  <w:pPr>
                    <w:pStyle w:val="94"/>
                    <w:shd w:val="clear" w:color="auto" w:fill="auto"/>
                    <w:rPr>
                      <w:rFonts w:ascii="Times New Roman" w:hAnsi="Times New Roman"/>
                      <w:color w:val="auto"/>
                      <w:highlight w:val="none"/>
                    </w:rPr>
                  </w:pPr>
                  <w:r>
                    <w:rPr>
                      <w:rFonts w:ascii="Times New Roman" w:hAnsi="Times New Roman"/>
                      <w:color w:val="auto"/>
                      <w:highlight w:val="none"/>
                    </w:rPr>
                    <w:t>NOx</w:t>
                  </w:r>
                </w:p>
              </w:tc>
              <w:tc>
                <w:tcPr>
                  <w:tcW w:w="2239" w:type="dxa"/>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bidi="ar"/>
                    </w:rPr>
                  </w:pPr>
                  <w:r>
                    <w:rPr>
                      <w:rFonts w:hint="default" w:ascii="Times New Roman" w:hAnsi="Times New Roman" w:eastAsia="宋体" w:cs="Times New Roman"/>
                      <w:i w:val="0"/>
                      <w:iCs w:val="0"/>
                      <w:color w:val="auto"/>
                      <w:kern w:val="0"/>
                      <w:sz w:val="21"/>
                      <w:szCs w:val="21"/>
                      <w:u w:val="none"/>
                      <w:lang w:val="en-US" w:eastAsia="zh-CN" w:bidi="ar"/>
                    </w:rPr>
                    <w:t xml:space="preserve">1.303 </w:t>
                  </w:r>
                </w:p>
              </w:tc>
              <w:tc>
                <w:tcPr>
                  <w:tcW w:w="2239"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0.938 </w:t>
                  </w:r>
                </w:p>
              </w:tc>
              <w:tc>
                <w:tcPr>
                  <w:tcW w:w="2466" w:type="dxa"/>
                  <w:gridSpan w:val="2"/>
                  <w:noWrap w:val="0"/>
                  <w:vAlign w:val="center"/>
                </w:tcPr>
                <w:p>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 xml:space="preserve">126.000 </w:t>
                  </w:r>
                </w:p>
              </w:tc>
            </w:tr>
          </w:tbl>
          <w:p>
            <w:pPr>
              <w:pStyle w:val="87"/>
              <w:keepNext w:val="0"/>
              <w:keepLines w:val="0"/>
              <w:pageBreakBefore w:val="0"/>
              <w:kinsoku/>
              <w:wordWrap/>
              <w:overflowPunct/>
              <w:topLinePunct w:val="0"/>
              <w:autoSpaceDE/>
              <w:autoSpaceDN/>
              <w:bidi w:val="0"/>
              <w:adjustRightInd/>
              <w:spacing w:beforeAutospacing="0" w:afterAutospacing="0" w:line="360" w:lineRule="auto"/>
              <w:ind w:left="0" w:leftChars="0" w:right="0" w:rightChars="0" w:firstLine="480" w:firstLineChars="200"/>
              <w:jc w:val="both"/>
              <w:rPr>
                <w:rFonts w:hint="default" w:eastAsia="宋体"/>
                <w:color w:val="auto"/>
                <w:sz w:val="24"/>
                <w:szCs w:val="24"/>
                <w:lang w:val="en-US" w:eastAsia="zh-CN"/>
              </w:rPr>
            </w:pPr>
            <w:r>
              <w:rPr>
                <w:rFonts w:eastAsia="宋体"/>
                <w:color w:val="auto"/>
                <w:sz w:val="24"/>
                <w:szCs w:val="24"/>
                <w:highlight w:val="none"/>
              </w:rPr>
              <w:t>热风炉烟气处理</w:t>
            </w:r>
            <w:r>
              <w:rPr>
                <w:rFonts w:eastAsia="宋体"/>
                <w:color w:val="auto"/>
                <w:sz w:val="24"/>
                <w:szCs w:val="24"/>
              </w:rPr>
              <w:t>设施为布袋除尘</w:t>
            </w:r>
            <w:r>
              <w:rPr>
                <w:rFonts w:eastAsia="宋体"/>
                <w:color w:val="auto"/>
                <w:sz w:val="24"/>
                <w:szCs w:val="24"/>
                <w:highlight w:val="none"/>
              </w:rPr>
              <w:t>器</w:t>
            </w:r>
            <w:r>
              <w:rPr>
                <w:rFonts w:hint="eastAsia"/>
                <w:color w:val="auto"/>
                <w:sz w:val="24"/>
                <w:szCs w:val="24"/>
                <w:highlight w:val="none"/>
                <w:lang w:val="en-US" w:eastAsia="zh-CN"/>
              </w:rPr>
              <w:t>+15m高排气筒</w:t>
            </w:r>
            <w:r>
              <w:rPr>
                <w:rFonts w:eastAsia="宋体"/>
                <w:color w:val="auto"/>
                <w:sz w:val="24"/>
                <w:szCs w:val="24"/>
                <w:highlight w:val="none"/>
              </w:rPr>
              <w:t>。热风炉烟气处理后经15m高</w:t>
            </w:r>
            <w:r>
              <w:rPr>
                <w:rFonts w:hint="eastAsia"/>
                <w:color w:val="auto"/>
                <w:sz w:val="24"/>
                <w:szCs w:val="24"/>
                <w:highlight w:val="none"/>
                <w:lang w:val="en-US" w:eastAsia="zh-CN"/>
              </w:rPr>
              <w:t>排气筒</w:t>
            </w:r>
            <w:r>
              <w:rPr>
                <w:rFonts w:eastAsia="宋体"/>
                <w:color w:val="auto"/>
                <w:sz w:val="24"/>
                <w:szCs w:val="24"/>
                <w:highlight w:val="none"/>
              </w:rPr>
              <w:t>排放，排放量</w:t>
            </w:r>
            <w:r>
              <w:rPr>
                <w:rFonts w:hint="eastAsia"/>
                <w:color w:val="auto"/>
                <w:sz w:val="24"/>
                <w:szCs w:val="24"/>
                <w:highlight w:val="none"/>
                <w:lang w:eastAsia="zh-CN"/>
              </w:rPr>
              <w:t>烟尘</w:t>
            </w:r>
            <w:r>
              <w:rPr>
                <w:rFonts w:eastAsia="宋体"/>
                <w:color w:val="auto"/>
                <w:sz w:val="24"/>
                <w:szCs w:val="24"/>
                <w:highlight w:val="none"/>
              </w:rPr>
              <w:t>为</w:t>
            </w:r>
            <w:r>
              <w:rPr>
                <w:rFonts w:hint="eastAsia"/>
                <w:color w:val="auto"/>
                <w:sz w:val="24"/>
                <w:szCs w:val="24"/>
                <w:highlight w:val="none"/>
                <w:vertAlign w:val="baseline"/>
                <w:lang w:val="en-US" w:eastAsia="zh-CN"/>
              </w:rPr>
              <w:t>1.021</w:t>
            </w:r>
            <w:r>
              <w:rPr>
                <w:rFonts w:eastAsia="宋体"/>
                <w:color w:val="auto"/>
                <w:sz w:val="24"/>
                <w:szCs w:val="24"/>
                <w:highlight w:val="none"/>
              </w:rPr>
              <w:t>t/a、SO</w:t>
            </w:r>
            <w:r>
              <w:rPr>
                <w:rFonts w:eastAsia="宋体"/>
                <w:color w:val="auto"/>
                <w:sz w:val="24"/>
                <w:szCs w:val="24"/>
                <w:highlight w:val="none"/>
                <w:vertAlign w:val="subscript"/>
              </w:rPr>
              <w:t>2</w:t>
            </w:r>
            <w:r>
              <w:rPr>
                <w:rFonts w:eastAsia="宋体"/>
                <w:color w:val="auto"/>
                <w:sz w:val="24"/>
                <w:szCs w:val="24"/>
                <w:highlight w:val="none"/>
              </w:rPr>
              <w:t>为</w:t>
            </w:r>
            <w:r>
              <w:rPr>
                <w:rFonts w:hint="eastAsia"/>
                <w:color w:val="auto"/>
                <w:sz w:val="24"/>
                <w:szCs w:val="24"/>
                <w:highlight w:val="none"/>
                <w:lang w:val="en-US" w:eastAsia="zh-CN"/>
              </w:rPr>
              <w:t>0.630</w:t>
            </w:r>
            <w:r>
              <w:rPr>
                <w:rFonts w:eastAsia="宋体"/>
                <w:color w:val="auto"/>
                <w:sz w:val="24"/>
                <w:szCs w:val="24"/>
                <w:highlight w:val="none"/>
              </w:rPr>
              <w:t>t/a、NOx为</w:t>
            </w:r>
            <w:r>
              <w:rPr>
                <w:rFonts w:hint="eastAsia"/>
                <w:color w:val="auto"/>
                <w:sz w:val="24"/>
                <w:szCs w:val="24"/>
                <w:highlight w:val="none"/>
                <w:vertAlign w:val="baseline"/>
                <w:lang w:val="en-US" w:eastAsia="zh-CN"/>
              </w:rPr>
              <w:t>0.938</w:t>
            </w:r>
            <w:r>
              <w:rPr>
                <w:rFonts w:eastAsia="宋体"/>
                <w:color w:val="auto"/>
                <w:sz w:val="24"/>
                <w:szCs w:val="24"/>
                <w:highlight w:val="none"/>
              </w:rPr>
              <w:t>t/a；污染</w:t>
            </w:r>
            <w:r>
              <w:rPr>
                <w:rFonts w:hint="default" w:ascii="Times New Roman" w:hAnsi="Times New Roman" w:eastAsia="宋体" w:cs="Times New Roman"/>
                <w:color w:val="auto"/>
                <w:sz w:val="24"/>
                <w:szCs w:val="24"/>
                <w:highlight w:val="none"/>
              </w:rPr>
              <w:t>物排放浓度烟尘为</w:t>
            </w:r>
            <w:r>
              <w:rPr>
                <w:rFonts w:hint="eastAsia" w:cs="Times New Roman"/>
                <w:color w:val="auto"/>
                <w:sz w:val="24"/>
                <w:szCs w:val="24"/>
                <w:highlight w:val="none"/>
                <w:lang w:val="en-US" w:eastAsia="zh-CN"/>
              </w:rPr>
              <w:t>137.036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、SO</w:t>
            </w:r>
            <w:r>
              <w:rPr>
                <w:rFonts w:hint="default" w:ascii="Times New Roman" w:hAnsi="Times New Roman" w:eastAsia="宋体" w:cs="Times New Roman"/>
                <w:color w:val="auto"/>
                <w:sz w:val="24"/>
                <w:szCs w:val="24"/>
                <w:highlight w:val="none"/>
                <w:vertAlign w:val="subscript"/>
              </w:rPr>
              <w:t>2</w:t>
            </w:r>
            <w:r>
              <w:rPr>
                <w:rFonts w:hint="default" w:ascii="Times New Roman" w:hAnsi="Times New Roman" w:eastAsia="宋体" w:cs="Times New Roman"/>
                <w:color w:val="auto"/>
                <w:sz w:val="24"/>
                <w:szCs w:val="24"/>
                <w:highlight w:val="none"/>
              </w:rPr>
              <w:t>为</w:t>
            </w:r>
            <w:r>
              <w:rPr>
                <w:rFonts w:hint="eastAsia" w:ascii="Times New Roman" w:hAnsi="Times New Roman" w:eastAsia="宋体" w:cs="Times New Roman"/>
                <w:color w:val="auto"/>
                <w:sz w:val="24"/>
                <w:szCs w:val="24"/>
                <w:highlight w:val="none"/>
                <w:lang w:val="en-US" w:eastAsia="zh-CN"/>
              </w:rPr>
              <w:t>84.588</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、NOx为</w:t>
            </w:r>
            <w:r>
              <w:rPr>
                <w:rFonts w:hint="eastAsia" w:cs="Times New Roman"/>
                <w:color w:val="auto"/>
                <w:sz w:val="24"/>
                <w:szCs w:val="24"/>
                <w:highlight w:val="none"/>
                <w:lang w:val="en-US" w:eastAsia="zh-CN"/>
              </w:rPr>
              <w:t>126</w:t>
            </w:r>
            <w:r>
              <w:rPr>
                <w:rFonts w:hint="default" w:ascii="Times New Roman" w:hAnsi="Times New Roman" w:eastAsia="宋体" w:cs="Times New Roman"/>
                <w:color w:val="auto"/>
                <w:sz w:val="24"/>
                <w:szCs w:val="24"/>
                <w:highlight w:val="none"/>
              </w:rPr>
              <w:t>mg/m</w:t>
            </w:r>
            <w:r>
              <w:rPr>
                <w:rFonts w:hint="default" w:ascii="Times New Roman" w:hAnsi="Times New Roman" w:eastAsia="宋体" w:cs="Times New Roman"/>
                <w:color w:val="auto"/>
                <w:sz w:val="24"/>
                <w:szCs w:val="24"/>
                <w:highlight w:val="none"/>
                <w:vertAlign w:val="superscript"/>
              </w:rPr>
              <w:t>3</w:t>
            </w:r>
            <w:r>
              <w:rPr>
                <w:rFonts w:hint="default" w:ascii="Times New Roman" w:hAnsi="Times New Roman" w:eastAsia="宋体" w:cs="Times New Roman"/>
                <w:color w:val="auto"/>
                <w:sz w:val="24"/>
                <w:szCs w:val="24"/>
                <w:highlight w:val="none"/>
              </w:rPr>
              <w:t>；热风炉</w:t>
            </w:r>
            <w:r>
              <w:rPr>
                <w:rFonts w:hint="eastAsia"/>
                <w:color w:val="auto"/>
                <w:sz w:val="24"/>
                <w:szCs w:val="24"/>
                <w:highlight w:val="none"/>
                <w:lang w:eastAsia="zh-CN"/>
              </w:rPr>
              <w:t>烟尘</w:t>
            </w:r>
            <w:r>
              <w:rPr>
                <w:rFonts w:hint="default" w:ascii="Times New Roman" w:hAnsi="Times New Roman" w:cs="Times New Roman"/>
                <w:color w:val="auto"/>
                <w:sz w:val="24"/>
                <w:szCs w:val="24"/>
                <w:highlight w:val="none"/>
                <w:lang w:eastAsia="zh-CN"/>
              </w:rPr>
              <w:t>、SO</w:t>
            </w:r>
            <w:r>
              <w:rPr>
                <w:rFonts w:hint="default" w:ascii="Times New Roman" w:hAnsi="Times New Roman" w:cs="Times New Roman"/>
                <w:color w:val="auto"/>
                <w:sz w:val="24"/>
                <w:szCs w:val="24"/>
                <w:highlight w:val="none"/>
                <w:vertAlign w:val="subscript"/>
                <w:lang w:eastAsia="zh-CN"/>
              </w:rPr>
              <w:t>2</w:t>
            </w:r>
            <w:r>
              <w:rPr>
                <w:rFonts w:hint="default" w:ascii="Times New Roman" w:hAnsi="Times New Roman" w:eastAsia="宋体" w:cs="Times New Roman"/>
                <w:color w:val="auto"/>
                <w:sz w:val="24"/>
                <w:szCs w:val="24"/>
                <w:highlight w:val="none"/>
              </w:rPr>
              <w:t>排</w:t>
            </w:r>
            <w:r>
              <w:rPr>
                <w:rFonts w:hint="default" w:ascii="Times New Roman" w:hAnsi="Times New Roman" w:eastAsia="宋体" w:cs="Times New Roman"/>
                <w:color w:val="auto"/>
                <w:sz w:val="24"/>
                <w:szCs w:val="24"/>
              </w:rPr>
              <w:t>放</w:t>
            </w:r>
            <w:r>
              <w:rPr>
                <w:rFonts w:hint="eastAsia" w:cs="Times New Roman"/>
                <w:color w:val="auto"/>
                <w:sz w:val="24"/>
                <w:szCs w:val="24"/>
                <w:lang w:eastAsia="zh-CN"/>
              </w:rPr>
              <w:t>浓度</w:t>
            </w:r>
            <w:r>
              <w:rPr>
                <w:rFonts w:hint="default" w:ascii="Times New Roman" w:hAnsi="Times New Roman" w:eastAsia="宋体" w:cs="Times New Roman"/>
                <w:color w:val="auto"/>
                <w:sz w:val="24"/>
                <w:szCs w:val="24"/>
              </w:rPr>
              <w:t>均满足《工业炉窑大气污染物排放标准》（GB9078-1996）</w:t>
            </w:r>
            <w:r>
              <w:rPr>
                <w:color w:val="auto"/>
                <w:sz w:val="24"/>
                <w:highlight w:val="none"/>
              </w:rPr>
              <w:t>中表</w:t>
            </w:r>
            <w:r>
              <w:rPr>
                <w:rFonts w:ascii="Times New Roman" w:hAnsi="Times New Roman" w:eastAsia="宋体" w:cs="Times New Roman"/>
                <w:bCs/>
                <w:color w:val="auto"/>
                <w:spacing w:val="-10"/>
                <w:sz w:val="24"/>
                <w:highlight w:val="none"/>
              </w:rPr>
              <w:t>2和表4二级标准</w:t>
            </w:r>
            <w:r>
              <w:rPr>
                <w:rFonts w:hint="default" w:ascii="Times New Roman" w:hAnsi="Times New Roman" w:cs="Times New Roman"/>
                <w:color w:val="auto"/>
                <w:sz w:val="24"/>
                <w:szCs w:val="24"/>
                <w:lang w:val="en-US" w:eastAsia="zh-CN"/>
              </w:rPr>
              <w:t>。</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w:t>
            </w:r>
            <w:r>
              <w:rPr>
                <w:rFonts w:hint="eastAsia" w:ascii="Times New Roman" w:hAnsi="Times New Roman" w:cs="Times New Roman"/>
                <w:b/>
                <w:bCs/>
                <w:color w:val="auto"/>
                <w:sz w:val="21"/>
                <w:szCs w:val="21"/>
                <w:lang w:val="en-US" w:eastAsia="zh-CN"/>
              </w:rPr>
              <w:t>2</w:t>
            </w:r>
            <w:r>
              <w:rPr>
                <w:rFonts w:hint="default" w:ascii="Times New Roman" w:hAnsi="Times New Roman" w:cs="Times New Roman"/>
                <w:b/>
                <w:bCs/>
                <w:color w:val="auto"/>
                <w:sz w:val="21"/>
                <w:szCs w:val="21"/>
                <w:lang w:val="en-US" w:eastAsia="zh-CN"/>
              </w:rPr>
              <w:t xml:space="preserve"> 大气污染源情况一览表</w:t>
            </w:r>
          </w:p>
          <w:tbl>
            <w:tblPr>
              <w:tblStyle w:val="31"/>
              <w:tblW w:w="8664"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28"/>
              <w:gridCol w:w="429"/>
              <w:gridCol w:w="761"/>
              <w:gridCol w:w="966"/>
              <w:gridCol w:w="617"/>
              <w:gridCol w:w="1222"/>
              <w:gridCol w:w="538"/>
              <w:gridCol w:w="429"/>
              <w:gridCol w:w="711"/>
              <w:gridCol w:w="882"/>
              <w:gridCol w:w="674"/>
              <w:gridCol w:w="5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2773"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420" w:firstLineChars="20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污染物产生</w:t>
                  </w:r>
                </w:p>
              </w:tc>
              <w:tc>
                <w:tcPr>
                  <w:tcW w:w="1760"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治理措施</w:t>
                  </w:r>
                </w:p>
              </w:tc>
              <w:tc>
                <w:tcPr>
                  <w:tcW w:w="2696" w:type="dxa"/>
                  <w:gridSpan w:val="4"/>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rPr>
                  </w:pPr>
                  <w:r>
                    <w:rPr>
                      <w:rFonts w:hint="default" w:ascii="Times New Roman" w:hAnsi="Times New Roman" w:eastAsia="宋体" w:cs="Times New Roman"/>
                      <w:b w:val="0"/>
                      <w:bCs w:val="0"/>
                      <w:color w:val="auto"/>
                      <w:spacing w:val="0"/>
                      <w:kern w:val="0"/>
                      <w:sz w:val="21"/>
                      <w:szCs w:val="21"/>
                      <w:lang w:val="en-US" w:eastAsia="zh-CN" w:bidi="ar-SA"/>
                    </w:rPr>
                    <w:t>排放时间</w:t>
                  </w:r>
                  <w:r>
                    <w:rPr>
                      <w:rFonts w:hint="eastAsia" w:cs="Times New Roman"/>
                      <w:b w:val="0"/>
                      <w:bCs w:val="0"/>
                      <w:color w:val="auto"/>
                      <w:spacing w:val="0"/>
                      <w:kern w:val="0"/>
                      <w:sz w:val="21"/>
                      <w:szCs w:val="21"/>
                      <w:lang w:val="en-US" w:eastAsia="zh-CN" w:bidi="ar-SA"/>
                    </w:rPr>
                    <w:t>（</w:t>
                  </w:r>
                  <w:r>
                    <w:rPr>
                      <w:rFonts w:hint="default" w:ascii="Times New Roman" w:hAnsi="Times New Roman" w:eastAsia="宋体" w:cs="Times New Roman"/>
                      <w:b w:val="0"/>
                      <w:bCs w:val="0"/>
                      <w:color w:val="auto"/>
                      <w:spacing w:val="0"/>
                      <w:kern w:val="0"/>
                      <w:sz w:val="21"/>
                      <w:szCs w:val="21"/>
                      <w:lang w:val="en-US" w:eastAsia="zh-CN" w:bidi="ar-SA"/>
                    </w:rPr>
                    <w:t>h</w:t>
                  </w:r>
                  <w:r>
                    <w:rPr>
                      <w:rFonts w:hint="eastAsia" w:cs="Times New Roman"/>
                      <w:b w:val="0"/>
                      <w:bCs w:val="0"/>
                      <w:color w:val="auto"/>
                      <w:spacing w:val="0"/>
                      <w:kern w:val="0"/>
                      <w:sz w:val="21"/>
                      <w:szCs w:val="21"/>
                      <w:lang w:val="en-US" w:eastAsia="zh-CN" w:bidi="ar-SA"/>
                    </w:rPr>
                    <w:t>）</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产生</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rPr>
                    <w:t>产生量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工艺</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效率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eastAsia"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核算方法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i w:val="0"/>
                      <w:iCs w:val="0"/>
                      <w:color w:val="auto"/>
                      <w:spacing w:val="0"/>
                      <w:sz w:val="21"/>
                      <w:szCs w:val="21"/>
                      <w:vertAlign w:val="baseline"/>
                      <w:lang w:val="en-US"/>
                    </w:rPr>
                  </w:pPr>
                  <w:r>
                    <w:rPr>
                      <w:rFonts w:hint="default" w:ascii="Times New Roman" w:hAnsi="Times New Roman" w:eastAsia="宋体" w:cs="Times New Roman"/>
                      <w:b w:val="0"/>
                      <w:bCs w:val="0"/>
                      <w:i w:val="0"/>
                      <w:iCs w:val="0"/>
                      <w:color w:val="auto"/>
                      <w:spacing w:val="0"/>
                      <w:kern w:val="0"/>
                      <w:sz w:val="21"/>
                      <w:szCs w:val="21"/>
                      <w:lang w:eastAsia="zh-CN"/>
                    </w:rPr>
                    <w:t>排放速率</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kg</w:t>
                  </w:r>
                  <w:r>
                    <w:rPr>
                      <w:rFonts w:hint="default" w:ascii="Times New Roman" w:hAnsi="Times New Roman" w:eastAsia="宋体" w:cs="Times New Roman"/>
                      <w:b w:val="0"/>
                      <w:bCs w:val="0"/>
                      <w:i w:val="0"/>
                      <w:iCs w:val="0"/>
                      <w:color w:val="auto"/>
                      <w:spacing w:val="0"/>
                      <w:kern w:val="0"/>
                      <w:sz w:val="21"/>
                      <w:szCs w:val="21"/>
                    </w:rPr>
                    <w:t>/</w:t>
                  </w:r>
                  <w:r>
                    <w:rPr>
                      <w:rFonts w:hint="default" w:ascii="Times New Roman" w:hAnsi="Times New Roman" w:eastAsia="宋体" w:cs="Times New Roman"/>
                      <w:b w:val="0"/>
                      <w:bCs w:val="0"/>
                      <w:i w:val="0"/>
                      <w:iCs w:val="0"/>
                      <w:color w:val="auto"/>
                      <w:spacing w:val="0"/>
                      <w:kern w:val="0"/>
                      <w:sz w:val="21"/>
                      <w:szCs w:val="21"/>
                      <w:lang w:val="en-US" w:eastAsia="zh-CN"/>
                    </w:rPr>
                    <w:t>h</w:t>
                  </w:r>
                  <w:r>
                    <w:rPr>
                      <w:rFonts w:hint="eastAsia"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浓度</w:t>
                  </w:r>
                  <w:r>
                    <w:rPr>
                      <w:rFonts w:hint="eastAsia" w:cs="Times New Roman"/>
                      <w:b w:val="0"/>
                      <w:bCs w:val="0"/>
                      <w:i w:val="0"/>
                      <w:iCs w:val="0"/>
                      <w:color w:val="auto"/>
                      <w:spacing w:val="0"/>
                      <w:kern w:val="0"/>
                      <w:sz w:val="21"/>
                      <w:szCs w:val="21"/>
                      <w:lang w:eastAsia="zh-CN"/>
                    </w:rPr>
                    <w:t>（</w:t>
                  </w:r>
                  <w:r>
                    <w:rPr>
                      <w:rFonts w:hint="default" w:ascii="Times New Roman" w:hAnsi="Times New Roman" w:cs="Times New Roman"/>
                      <w:b w:val="0"/>
                      <w:bCs w:val="0"/>
                      <w:i w:val="0"/>
                      <w:iCs w:val="0"/>
                      <w:color w:val="auto"/>
                      <w:spacing w:val="0"/>
                      <w:sz w:val="21"/>
                      <w:szCs w:val="21"/>
                      <w:highlight w:val="none"/>
                    </w:rPr>
                    <w:t>mg/m</w:t>
                  </w:r>
                  <w:r>
                    <w:rPr>
                      <w:rFonts w:hint="default" w:ascii="Times New Roman" w:hAnsi="Times New Roman" w:cs="Times New Roman"/>
                      <w:b w:val="0"/>
                      <w:bCs w:val="0"/>
                      <w:i w:val="0"/>
                      <w:iCs w:val="0"/>
                      <w:color w:val="auto"/>
                      <w:spacing w:val="0"/>
                      <w:sz w:val="21"/>
                      <w:szCs w:val="21"/>
                      <w:highlight w:val="none"/>
                      <w:vertAlign w:val="superscript"/>
                    </w:rPr>
                    <w:t>3</w:t>
                  </w:r>
                  <w:r>
                    <w:rPr>
                      <w:rFonts w:hint="eastAsia" w:cs="Times New Roman"/>
                      <w:b w:val="0"/>
                      <w:bCs w:val="0"/>
                      <w:i w:val="0"/>
                      <w:iCs w:val="0"/>
                      <w:color w:val="auto"/>
                      <w:spacing w:val="0"/>
                      <w:sz w:val="21"/>
                      <w:szCs w:val="21"/>
                      <w:highlight w:val="none"/>
                      <w:vertAlign w:val="superscript"/>
                      <w:lang w:eastAsia="zh-CN"/>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rPr>
                    <w:t>量</w:t>
                  </w:r>
                  <w:r>
                    <w:rPr>
                      <w:rFonts w:hint="eastAsia" w:cs="Times New Roman"/>
                      <w:b w:val="0"/>
                      <w:bCs w:val="0"/>
                      <w:i w:val="0"/>
                      <w:iCs w:val="0"/>
                      <w:color w:val="auto"/>
                      <w:spacing w:val="0"/>
                      <w:kern w:val="0"/>
                      <w:sz w:val="21"/>
                      <w:szCs w:val="21"/>
                      <w:lang w:eastAsia="zh-CN"/>
                    </w:rPr>
                    <w:t>（</w:t>
                  </w:r>
                  <w:r>
                    <w:rPr>
                      <w:rFonts w:hint="default" w:ascii="Times New Roman" w:hAnsi="Times New Roman" w:eastAsia="宋体" w:cs="Times New Roman"/>
                      <w:b w:val="0"/>
                      <w:bCs w:val="0"/>
                      <w:i w:val="0"/>
                      <w:iCs w:val="0"/>
                      <w:color w:val="auto"/>
                      <w:spacing w:val="0"/>
                      <w:kern w:val="0"/>
                      <w:sz w:val="21"/>
                      <w:szCs w:val="21"/>
                      <w:lang w:val="en-US" w:eastAsia="zh-CN"/>
                    </w:rPr>
                    <w:t>t</w:t>
                  </w:r>
                  <w:r>
                    <w:rPr>
                      <w:rFonts w:hint="default" w:ascii="Times New Roman" w:hAnsi="Times New Roman" w:eastAsia="宋体" w:cs="Times New Roman"/>
                      <w:b w:val="0"/>
                      <w:bCs w:val="0"/>
                      <w:i w:val="0"/>
                      <w:iCs w:val="0"/>
                      <w:color w:val="auto"/>
                      <w:spacing w:val="0"/>
                      <w:kern w:val="0"/>
                      <w:sz w:val="21"/>
                      <w:szCs w:val="21"/>
                    </w:rPr>
                    <w:t>/a</w:t>
                  </w:r>
                  <w:r>
                    <w:rPr>
                      <w:rFonts w:hint="eastAsia" w:cs="Times New Roman"/>
                      <w:b w:val="0"/>
                      <w:bCs w:val="0"/>
                      <w:i w:val="0"/>
                      <w:iCs w:val="0"/>
                      <w:color w:val="auto"/>
                      <w:spacing w:val="0"/>
                      <w:kern w:val="0"/>
                      <w:sz w:val="21"/>
                      <w:szCs w:val="21"/>
                      <w:lang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jc w:val="center"/>
                    <w:rPr>
                      <w:rFonts w:hint="default" w:ascii="Times New Roman" w:hAnsi="Times New Roman" w:cs="Times New Roman"/>
                      <w:b w:val="0"/>
                      <w:bCs w:val="0"/>
                      <w:color w:val="auto"/>
                      <w:spacing w:val="0"/>
                      <w:sz w:val="21"/>
                      <w:szCs w:val="21"/>
                      <w:vertAlign w:val="baseli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装卸</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筛分</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w:t>
                  </w:r>
                  <w:r>
                    <w:rPr>
                      <w:rFonts w:hint="eastAsia" w:ascii="Times New Roman" w:hAnsi="Times New Roman" w:eastAsia="宋体" w:cs="Times New Roman"/>
                      <w:b w:val="0"/>
                      <w:bCs w:val="0"/>
                      <w:i w:val="0"/>
                      <w:iCs w:val="0"/>
                      <w:color w:val="auto"/>
                      <w:spacing w:val="0"/>
                      <w:sz w:val="21"/>
                      <w:szCs w:val="21"/>
                      <w:vertAlign w:val="baseline"/>
                      <w:lang w:eastAsia="zh-CN"/>
                    </w:rPr>
                    <w:t>烘干塔、</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输送</w:t>
                  </w:r>
                  <w:r>
                    <w:rPr>
                      <w:rFonts w:hint="default" w:ascii="Times New Roman" w:hAnsi="Times New Roman" w:eastAsia="宋体" w:cs="Times New Roman"/>
                      <w:b w:val="0"/>
                      <w:bCs w:val="0"/>
                      <w:i w:val="0"/>
                      <w:iCs w:val="0"/>
                      <w:color w:val="auto"/>
                      <w:spacing w:val="0"/>
                      <w:sz w:val="21"/>
                      <w:szCs w:val="21"/>
                      <w:vertAlign w:val="baseline"/>
                      <w:lang w:val="en-US" w:eastAsia="zh-CN"/>
                    </w:rPr>
                    <w:t>无组织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颗粒物</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6.25</w:t>
                  </w:r>
                </w:p>
              </w:tc>
              <w:tc>
                <w:tcPr>
                  <w:tcW w:w="96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61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4.5</w:t>
                  </w:r>
                </w:p>
              </w:tc>
              <w:tc>
                <w:tcPr>
                  <w:tcW w:w="122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封闭传送带，装卸区设置遮挡设施，采用封闭式清理筛，</w:t>
                  </w:r>
                  <w:r>
                    <w:rPr>
                      <w:rFonts w:hint="eastAsia" w:ascii="Times New Roman" w:hAnsi="Times New Roman" w:eastAsia="宋体" w:cs="Times New Roman"/>
                      <w:b w:val="0"/>
                      <w:bCs w:val="0"/>
                      <w:i w:val="0"/>
                      <w:iCs w:val="0"/>
                      <w:color w:val="auto"/>
                      <w:spacing w:val="0"/>
                      <w:kern w:val="0"/>
                      <w:sz w:val="21"/>
                      <w:szCs w:val="21"/>
                      <w:lang w:val="en-US" w:eastAsia="zh-CN"/>
                    </w:rPr>
                    <w:t>烘干塔体两侧排气孔设置折流挡板</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90</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产污系数法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0.625</w:t>
                  </w:r>
                </w:p>
              </w:tc>
              <w:tc>
                <w:tcPr>
                  <w:tcW w:w="88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bidi="ar-SA"/>
                    </w:rPr>
                    <w:t>/</w:t>
                  </w:r>
                </w:p>
              </w:tc>
              <w:tc>
                <w:tcPr>
                  <w:tcW w:w="674"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bidi="ar-SA"/>
                    </w:rPr>
                    <w:t>0.45</w:t>
                  </w:r>
                </w:p>
              </w:tc>
              <w:tc>
                <w:tcPr>
                  <w:tcW w:w="579"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28"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热风炉烟气有组织</w:t>
                  </w: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颗粒物</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61" w:type="dxa"/>
                  <w:tcBorders>
                    <w:tl2br w:val="nil"/>
                    <w:tr2bl w:val="nil"/>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141.753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13703.629</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102.063</w:t>
                  </w:r>
                </w:p>
              </w:tc>
              <w:tc>
                <w:tcPr>
                  <w:tcW w:w="122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低氮燃烧技术+</w:t>
                  </w:r>
                  <w:r>
                    <w:rPr>
                      <w:rFonts w:hint="default" w:ascii="Times New Roman" w:hAnsi="Times New Roman" w:cs="Times New Roman"/>
                      <w:b w:val="0"/>
                      <w:bCs w:val="0"/>
                      <w:color w:val="auto"/>
                      <w:spacing w:val="0"/>
                      <w:sz w:val="21"/>
                      <w:szCs w:val="21"/>
                      <w:vertAlign w:val="baseline"/>
                      <w:lang w:val="en-US" w:eastAsia="zh-CN"/>
                    </w:rPr>
                    <w:t>布袋除尘器</w:t>
                  </w:r>
                  <w:r>
                    <w:rPr>
                      <w:rFonts w:hint="eastAsia" w:cs="Times New Roman"/>
                      <w:b w:val="0"/>
                      <w:bCs w:val="0"/>
                      <w:color w:val="auto"/>
                      <w:spacing w:val="0"/>
                      <w:sz w:val="21"/>
                      <w:szCs w:val="21"/>
                      <w:vertAlign w:val="baseline"/>
                      <w:lang w:val="en-US" w:eastAsia="zh-CN"/>
                    </w:rPr>
                    <w:t>+</w:t>
                  </w:r>
                  <w:r>
                    <w:rPr>
                      <w:rFonts w:hint="default" w:ascii="Times New Roman" w:hAnsi="Times New Roman" w:cs="Times New Roman"/>
                      <w:b w:val="0"/>
                      <w:bCs w:val="0"/>
                      <w:color w:val="auto"/>
                      <w:spacing w:val="0"/>
                      <w:sz w:val="21"/>
                      <w:szCs w:val="21"/>
                      <w:vertAlign w:val="baseline"/>
                      <w:lang w:val="en-US" w:eastAsia="zh-CN"/>
                    </w:rPr>
                    <w:t>15m高</w:t>
                  </w:r>
                  <w:r>
                    <w:rPr>
                      <w:rFonts w:hint="eastAsia" w:cs="Times New Roman"/>
                      <w:b w:val="0"/>
                      <w:bCs w:val="0"/>
                      <w:color w:val="auto"/>
                      <w:spacing w:val="0"/>
                      <w:sz w:val="21"/>
                      <w:szCs w:val="21"/>
                      <w:vertAlign w:val="baseline"/>
                      <w:lang w:val="en-US" w:eastAsia="zh-CN"/>
                    </w:rPr>
                    <w:t>排气筒</w:t>
                  </w: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99</w:t>
                  </w:r>
                </w:p>
              </w:tc>
              <w:tc>
                <w:tcPr>
                  <w:tcW w:w="42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物料衡算法</w:t>
                  </w: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1.418</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1.021</w:t>
                  </w:r>
                </w:p>
              </w:tc>
              <w:tc>
                <w:tcPr>
                  <w:tcW w:w="579"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二氧化硫</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0.875</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0.630</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0.875</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0.630</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t>氮氧化物</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6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1.303</w:t>
                  </w:r>
                </w:p>
              </w:tc>
              <w:tc>
                <w:tcPr>
                  <w:tcW w:w="966"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i w:val="0"/>
                      <w:iCs w:val="0"/>
                      <w:color w:val="auto"/>
                      <w:kern w:val="0"/>
                      <w:sz w:val="21"/>
                      <w:szCs w:val="21"/>
                      <w:u w:val="none"/>
                      <w:lang w:val="en-US" w:eastAsia="zh-CN" w:bidi="ar"/>
                    </w:rPr>
                    <w:t>126</w:t>
                  </w:r>
                </w:p>
              </w:tc>
              <w:tc>
                <w:tcPr>
                  <w:tcW w:w="617"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0.938</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30（源头控制）</w:t>
                  </w:r>
                </w:p>
              </w:tc>
              <w:tc>
                <w:tcPr>
                  <w:tcW w:w="42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711"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1.303</w:t>
                  </w:r>
                </w:p>
              </w:tc>
              <w:tc>
                <w:tcPr>
                  <w:tcW w:w="882"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i w:val="0"/>
                      <w:iCs w:val="0"/>
                      <w:color w:val="auto"/>
                      <w:kern w:val="0"/>
                      <w:sz w:val="21"/>
                      <w:szCs w:val="21"/>
                      <w:u w:val="none"/>
                      <w:lang w:val="en-US" w:eastAsia="zh-CN" w:bidi="ar"/>
                    </w:rPr>
                    <w:t>126</w:t>
                  </w:r>
                </w:p>
              </w:tc>
              <w:tc>
                <w:tcPr>
                  <w:tcW w:w="674" w:type="dxa"/>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cs="Times New Roman"/>
                      <w:b w:val="0"/>
                      <w:bCs w:val="0"/>
                      <w:i w:val="0"/>
                      <w:iCs w:val="0"/>
                      <w:color w:val="auto"/>
                      <w:spacing w:val="0"/>
                      <w:kern w:val="0"/>
                      <w:sz w:val="21"/>
                      <w:szCs w:val="21"/>
                      <w:lang w:val="en-US" w:eastAsia="zh-CN"/>
                    </w:rPr>
                    <w:t>0.938</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428"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p>
              </w:tc>
              <w:tc>
                <w:tcPr>
                  <w:tcW w:w="42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2"/>
                      <w:sz w:val="21"/>
                      <w:szCs w:val="21"/>
                      <w:vertAlign w:val="baseline"/>
                      <w:lang w:val="en-US" w:eastAsia="zh-CN" w:bidi="ar-SA"/>
                    </w:rPr>
                  </w:pPr>
                  <w:r>
                    <w:rPr>
                      <w:rFonts w:hint="eastAsia" w:ascii="Times New Roman" w:hAnsi="Times New Roman" w:eastAsia="宋体" w:cs="Times New Roman"/>
                      <w:b w:val="0"/>
                      <w:bCs w:val="0"/>
                      <w:i w:val="0"/>
                      <w:iCs w:val="0"/>
                      <w:color w:val="auto"/>
                      <w:spacing w:val="0"/>
                      <w:kern w:val="2"/>
                      <w:sz w:val="21"/>
                      <w:szCs w:val="21"/>
                      <w:vertAlign w:val="baseline"/>
                      <w:lang w:val="en-US" w:eastAsia="zh-CN" w:bidi="ar-SA"/>
                    </w:rPr>
                    <w:t>烟气黑度</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6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966"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17"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122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c>
                <w:tcPr>
                  <w:tcW w:w="53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42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类比法</w:t>
                  </w:r>
                </w:p>
              </w:tc>
              <w:tc>
                <w:tcPr>
                  <w:tcW w:w="711"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rPr>
                    <w:t>/</w:t>
                  </w:r>
                </w:p>
              </w:tc>
              <w:tc>
                <w:tcPr>
                  <w:tcW w:w="882" w:type="dxa"/>
                  <w:tcBorders>
                    <w:tl2br w:val="nil"/>
                    <w:tr2bl w:val="nil"/>
                  </w:tcBorders>
                  <w:noWrap w:val="0"/>
                  <w:vAlign w:val="center"/>
                </w:tcPr>
                <w:p>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&lt;1级</w:t>
                  </w:r>
                </w:p>
              </w:tc>
              <w:tc>
                <w:tcPr>
                  <w:tcW w:w="674" w:type="dxa"/>
                  <w:tcBorders>
                    <w:tl2br w:val="nil"/>
                    <w:tr2bl w:val="nil"/>
                  </w:tcBorders>
                  <w:noWrap w:val="0"/>
                  <w:vAlign w:val="center"/>
                </w:tcPr>
                <w:p>
                  <w:pPr>
                    <w:spacing w:line="240" w:lineRule="auto"/>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w:t>
                  </w:r>
                </w:p>
              </w:tc>
              <w:tc>
                <w:tcPr>
                  <w:tcW w:w="579"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cs="Times New Roman"/>
                      <w:b w:val="0"/>
                      <w:bCs w:val="0"/>
                      <w:color w:val="auto"/>
                      <w:spacing w:val="0"/>
                      <w:sz w:val="21"/>
                      <w:szCs w:val="21"/>
                      <w:vertAlign w:val="baseline"/>
                      <w:lang w:val="en-US" w:eastAsia="zh-CN"/>
                    </w:rPr>
                  </w:pPr>
                </w:p>
              </w:tc>
            </w:tr>
          </w:tbl>
          <w:p>
            <w:pPr>
              <w:keepLines w:val="0"/>
              <w:pageBreakBefore w:val="0"/>
              <w:numPr>
                <w:ilvl w:val="0"/>
                <w:numId w:val="0"/>
              </w:numPr>
              <w:tabs>
                <w:tab w:val="left" w:pos="1291"/>
              </w:tabs>
              <w:topLinePunct w:val="0"/>
              <w:bidi w:val="0"/>
              <w:spacing w:beforeAutospacing="0" w:afterAutospacing="0" w:line="360" w:lineRule="auto"/>
              <w:ind w:left="0" w:leftChars="0" w:right="0" w:rightChars="0" w:firstLine="480" w:firstLineChars="200"/>
              <w:jc w:val="left"/>
              <w:rPr>
                <w:rFonts w:hint="default" w:ascii="Times New Roman" w:hAnsi="Times New Roman" w:cs="Times New Roman" w:eastAsiaTheme="minorEastAsia"/>
                <w:color w:val="auto"/>
                <w:sz w:val="24"/>
                <w:szCs w:val="28"/>
              </w:rPr>
            </w:pPr>
            <w:r>
              <w:rPr>
                <w:rFonts w:hint="default" w:ascii="Times New Roman" w:hAnsi="Times New Roman" w:cs="Times New Roman" w:eastAsiaTheme="minorEastAsia"/>
                <w:color w:val="auto"/>
                <w:sz w:val="24"/>
                <w:szCs w:val="28"/>
              </w:rPr>
              <w:t>非正常工况排污</w:t>
            </w:r>
          </w:p>
          <w:p>
            <w:pPr>
              <w:pStyle w:val="61"/>
              <w:keepLines w:val="0"/>
              <w:pageBreakBefore w:val="0"/>
              <w:topLinePunct w:val="0"/>
              <w:bidi w:val="0"/>
              <w:spacing w:beforeAutospacing="0" w:afterAutospacing="0" w:line="360" w:lineRule="auto"/>
              <w:ind w:left="0" w:leftChars="0" w:right="0" w:rightChars="0" w:firstLine="480" w:firstLineChars="200"/>
              <w:rPr>
                <w:rFonts w:hint="default"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若项目热风炉配套的布袋除尘器</w:t>
            </w:r>
            <w:r>
              <w:rPr>
                <w:rFonts w:hint="eastAsia" w:cs="Times New Roman"/>
                <w:color w:val="auto"/>
                <w:sz w:val="24"/>
                <w:szCs w:val="24"/>
                <w:lang w:val="en-US" w:eastAsia="zh-CN"/>
              </w:rPr>
              <w:t>发</w:t>
            </w:r>
            <w:r>
              <w:rPr>
                <w:rFonts w:hint="default" w:ascii="Times New Roman" w:hAnsi="Times New Roman" w:eastAsia="宋体" w:cs="Times New Roman"/>
                <w:color w:val="auto"/>
                <w:sz w:val="24"/>
                <w:szCs w:val="24"/>
              </w:rPr>
              <w:t>生故障，</w:t>
            </w:r>
            <w:r>
              <w:rPr>
                <w:rFonts w:hint="eastAsia" w:cs="Times New Roman"/>
                <w:color w:val="auto"/>
                <w:sz w:val="24"/>
                <w:szCs w:val="24"/>
                <w:lang w:val="en-US" w:eastAsia="zh-CN"/>
              </w:rPr>
              <w:t>取最不利情况，布袋破碎，</w:t>
            </w:r>
            <w:r>
              <w:rPr>
                <w:rFonts w:hint="default" w:ascii="Times New Roman" w:hAnsi="Times New Roman" w:eastAsia="宋体" w:cs="Times New Roman"/>
                <w:color w:val="auto"/>
                <w:sz w:val="24"/>
                <w:szCs w:val="24"/>
              </w:rPr>
              <w:t>会导致除尘效率下降为</w:t>
            </w:r>
            <w:r>
              <w:rPr>
                <w:rFonts w:hint="eastAsia" w:cs="Times New Roman"/>
                <w:color w:val="auto"/>
                <w:sz w:val="24"/>
                <w:szCs w:val="24"/>
                <w:lang w:val="en-US" w:eastAsia="zh-CN"/>
              </w:rPr>
              <w:t>95</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，若发生非正常工况时，企业做停产处理</w:t>
            </w:r>
            <w:r>
              <w:rPr>
                <w:rFonts w:hint="eastAsia" w:cs="Times New Roman"/>
                <w:color w:val="auto"/>
                <w:sz w:val="24"/>
                <w:szCs w:val="24"/>
                <w:lang w:eastAsia="zh-CN"/>
              </w:rPr>
              <w:t>，</w:t>
            </w:r>
            <w:r>
              <w:rPr>
                <w:rFonts w:hint="eastAsia" w:cs="Times New Roman"/>
                <w:color w:val="auto"/>
                <w:sz w:val="24"/>
                <w:szCs w:val="24"/>
                <w:lang w:val="en-US" w:eastAsia="zh-CN"/>
              </w:rPr>
              <w:t>恢复正常后重新运行。</w:t>
            </w:r>
            <w:r>
              <w:rPr>
                <w:rFonts w:hint="default" w:ascii="Times New Roman" w:hAnsi="Times New Roman" w:eastAsia="宋体" w:cs="Times New Roman"/>
                <w:color w:val="auto"/>
                <w:sz w:val="24"/>
                <w:szCs w:val="24"/>
                <w:lang w:val="en-US" w:eastAsia="zh-CN"/>
              </w:rPr>
              <w:t>非正常工况下废气污染源强核算结果及相关参数</w:t>
            </w:r>
            <w:r>
              <w:rPr>
                <w:rFonts w:hint="eastAsia" w:cs="Times New Roman"/>
                <w:color w:val="auto"/>
                <w:sz w:val="24"/>
                <w:szCs w:val="24"/>
                <w:lang w:val="en-US" w:eastAsia="zh-CN"/>
              </w:rPr>
              <w:t>见</w:t>
            </w:r>
            <w:r>
              <w:rPr>
                <w:rFonts w:hint="default" w:ascii="Times New Roman" w:hAnsi="Times New Roman" w:eastAsia="宋体" w:cs="Times New Roman"/>
                <w:color w:val="auto"/>
                <w:sz w:val="24"/>
                <w:szCs w:val="24"/>
                <w:lang w:val="en-US" w:eastAsia="zh-CN"/>
              </w:rPr>
              <w:t>表</w:t>
            </w:r>
            <w:r>
              <w:rPr>
                <w:rFonts w:hint="eastAsia" w:cs="Times New Roman"/>
                <w:color w:val="auto"/>
                <w:sz w:val="24"/>
                <w:szCs w:val="24"/>
                <w:lang w:val="en-US" w:eastAsia="zh-CN"/>
              </w:rPr>
              <w:t>4-3</w:t>
            </w:r>
            <w:r>
              <w:rPr>
                <w:rFonts w:hint="default" w:ascii="Times New Roman" w:hAnsi="Times New Roman" w:eastAsia="宋体" w:cs="Times New Roman"/>
                <w:color w:val="auto"/>
                <w:sz w:val="24"/>
                <w:szCs w:val="24"/>
                <w:lang w:eastAsia="zh-CN"/>
              </w:rPr>
              <w:t>。</w:t>
            </w:r>
          </w:p>
          <w:p>
            <w:pPr>
              <w:pStyle w:val="96"/>
              <w:keepLines w:val="0"/>
              <w:pageBreakBefore w:val="0"/>
              <w:topLinePunct w:val="0"/>
              <w:bidi w:val="0"/>
              <w:adjustRightInd w:val="0"/>
              <w:snapToGrid w:val="0"/>
              <w:spacing w:beforeAutospacing="0" w:afterAutospacing="0" w:line="360" w:lineRule="auto"/>
              <w:ind w:left="0" w:leftChars="0" w:right="0" w:rightChars="0" w:firstLine="422" w:firstLineChars="200"/>
              <w:rPr>
                <w:rFonts w:hint="default" w:ascii="Times New Roman" w:hAnsi="Times New Roman" w:cs="Times New Roman" w:eastAsiaTheme="minorEastAsia"/>
                <w:b/>
                <w:bCs/>
                <w:color w:val="auto"/>
                <w:kern w:val="2"/>
                <w:sz w:val="21"/>
                <w:szCs w:val="24"/>
                <w:highlight w:val="none"/>
                <w:lang w:val="en-US" w:eastAsia="zh-CN" w:bidi="ar-SA"/>
              </w:rPr>
            </w:pPr>
            <w:r>
              <w:rPr>
                <w:rFonts w:hint="default" w:ascii="Times New Roman" w:hAnsi="Times New Roman" w:cs="Times New Roman" w:eastAsiaTheme="minorEastAsia"/>
                <w:b/>
                <w:bCs/>
                <w:color w:val="auto"/>
                <w:kern w:val="2"/>
                <w:sz w:val="21"/>
                <w:szCs w:val="24"/>
                <w:highlight w:val="none"/>
                <w:lang w:val="en-US" w:eastAsia="zh-CN" w:bidi="ar-SA"/>
              </w:rPr>
              <w:t>表4-</w:t>
            </w:r>
            <w:r>
              <w:rPr>
                <w:rFonts w:hint="eastAsia" w:ascii="Times New Roman" w:hAnsi="Times New Roman" w:cs="Times New Roman" w:eastAsiaTheme="minorEastAsia"/>
                <w:b/>
                <w:bCs/>
                <w:color w:val="auto"/>
                <w:kern w:val="2"/>
                <w:sz w:val="21"/>
                <w:szCs w:val="24"/>
                <w:highlight w:val="none"/>
                <w:lang w:val="en-US" w:eastAsia="zh-CN" w:bidi="ar-SA"/>
              </w:rPr>
              <w:t>3</w:t>
            </w:r>
            <w:r>
              <w:rPr>
                <w:rFonts w:hint="default" w:ascii="Times New Roman" w:hAnsi="Times New Roman" w:cs="Times New Roman" w:eastAsiaTheme="minorEastAsia"/>
                <w:b/>
                <w:bCs/>
                <w:color w:val="auto"/>
                <w:kern w:val="2"/>
                <w:sz w:val="21"/>
                <w:szCs w:val="24"/>
                <w:highlight w:val="none"/>
                <w:lang w:val="en-US" w:eastAsia="zh-CN" w:bidi="ar-SA"/>
              </w:rPr>
              <w:t xml:space="preserve">  非正常工况下废气污染源强核算结果及相关参数一览表</w:t>
            </w:r>
          </w:p>
          <w:tbl>
            <w:tblPr>
              <w:tblStyle w:val="30"/>
              <w:tblW w:w="8666"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37"/>
              <w:gridCol w:w="654"/>
              <w:gridCol w:w="1194"/>
              <w:gridCol w:w="546"/>
              <w:gridCol w:w="1483"/>
              <w:gridCol w:w="1414"/>
              <w:gridCol w:w="954"/>
              <w:gridCol w:w="898"/>
              <w:gridCol w:w="1086"/>
            </w:tblGrid>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序号</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污染源</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非正常排放原因</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污染物</w:t>
                  </w:r>
                </w:p>
              </w:tc>
              <w:tc>
                <w:tcPr>
                  <w:tcW w:w="1483"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非正常排放浓度/（</w:t>
                  </w:r>
                  <w:r>
                    <w:rPr>
                      <w:rFonts w:hint="default" w:ascii="Times New Roman" w:hAnsi="Times New Roman" w:cs="Times New Roman"/>
                      <w:color w:val="auto"/>
                      <w:kern w:val="0"/>
                      <w:sz w:val="21"/>
                      <w:szCs w:val="21"/>
                      <w:lang w:val="en-US" w:eastAsia="zh-CN"/>
                    </w:rPr>
                    <w:t>m</w:t>
                  </w:r>
                  <w:r>
                    <w:rPr>
                      <w:rFonts w:hint="default" w:ascii="Times New Roman" w:hAnsi="Times New Roman" w:cs="Times New Roman"/>
                      <w:color w:val="auto"/>
                      <w:kern w:val="0"/>
                      <w:sz w:val="21"/>
                      <w:szCs w:val="21"/>
                    </w:rPr>
                    <w:t>g/m</w:t>
                  </w:r>
                  <w:r>
                    <w:rPr>
                      <w:rFonts w:hint="default" w:ascii="Times New Roman" w:hAnsi="Times New Roman" w:cs="Times New Roman"/>
                      <w:color w:val="auto"/>
                      <w:kern w:val="0"/>
                      <w:sz w:val="21"/>
                      <w:szCs w:val="21"/>
                      <w:vertAlign w:val="superscript"/>
                    </w:rPr>
                    <w:t>3</w:t>
                  </w:r>
                  <w:r>
                    <w:rPr>
                      <w:rFonts w:hint="default" w:ascii="Times New Roman" w:hAnsi="Times New Roman" w:cs="Times New Roman"/>
                      <w:color w:val="auto"/>
                      <w:kern w:val="0"/>
                      <w:sz w:val="21"/>
                      <w:szCs w:val="21"/>
                    </w:rPr>
                    <w:t>）</w:t>
                  </w:r>
                </w:p>
              </w:tc>
              <w:tc>
                <w:tcPr>
                  <w:tcW w:w="141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非正常排放速率/（kg/h）</w:t>
                  </w:r>
                </w:p>
              </w:tc>
              <w:tc>
                <w:tcPr>
                  <w:tcW w:w="9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单次持续时间/h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年发生频次/次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应对</w:t>
                  </w:r>
                </w:p>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措施</w:t>
                  </w:r>
                </w:p>
              </w:tc>
            </w:tr>
            <w:tr>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54" w:hRule="atLeast"/>
              </w:trPr>
              <w:tc>
                <w:tcPr>
                  <w:tcW w:w="437"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1</w:t>
                  </w:r>
                </w:p>
              </w:tc>
              <w:tc>
                <w:tcPr>
                  <w:tcW w:w="65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eastAsia="宋体" w:cs="Times New Roman"/>
                      <w:color w:val="auto"/>
                      <w:kern w:val="0"/>
                      <w:sz w:val="21"/>
                      <w:szCs w:val="21"/>
                      <w:lang w:eastAsia="zh-CN"/>
                    </w:rPr>
                  </w:pPr>
                  <w:r>
                    <w:rPr>
                      <w:rFonts w:hint="default" w:ascii="Times New Roman" w:hAnsi="Times New Roman" w:cs="Times New Roman"/>
                      <w:color w:val="auto"/>
                      <w:kern w:val="0"/>
                      <w:sz w:val="21"/>
                      <w:szCs w:val="21"/>
                      <w:lang w:eastAsia="zh-CN"/>
                    </w:rPr>
                    <w:t>热风炉</w:t>
                  </w:r>
                </w:p>
              </w:tc>
              <w:tc>
                <w:tcPr>
                  <w:tcW w:w="1194"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布袋除尘器布袋破损</w:t>
                  </w:r>
                </w:p>
              </w:tc>
              <w:tc>
                <w:tcPr>
                  <w:tcW w:w="54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eastAsia="zh-CN"/>
                    </w:rPr>
                    <w:t>烟尘</w:t>
                  </w:r>
                </w:p>
              </w:tc>
              <w:tc>
                <w:tcPr>
                  <w:tcW w:w="1483"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685.181</w:t>
                  </w:r>
                </w:p>
              </w:tc>
              <w:tc>
                <w:tcPr>
                  <w:tcW w:w="141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5.103</w:t>
                  </w:r>
                </w:p>
              </w:tc>
              <w:tc>
                <w:tcPr>
                  <w:tcW w:w="954" w:type="dxa"/>
                  <w:tcBorders>
                    <w:tl2br w:val="nil"/>
                    <w:tr2bl w:val="nil"/>
                  </w:tcBorders>
                  <w:noWrap/>
                  <w:vAlign w:val="center"/>
                </w:tcPr>
                <w:p>
                  <w:pPr>
                    <w:pStyle w:val="52"/>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1h</w:t>
                  </w:r>
                </w:p>
              </w:tc>
              <w:tc>
                <w:tcPr>
                  <w:tcW w:w="898"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eastAsia" w:ascii="Times New Roman" w:hAnsi="Times New Roman" w:cs="Times New Roman"/>
                      <w:color w:val="auto"/>
                      <w:kern w:val="0"/>
                      <w:sz w:val="21"/>
                      <w:szCs w:val="21"/>
                      <w:lang w:val="en-US" w:eastAsia="zh-CN"/>
                    </w:rPr>
                    <w:t>1</w:t>
                  </w:r>
                  <w:r>
                    <w:rPr>
                      <w:rFonts w:hint="default" w:ascii="Times New Roman" w:hAnsi="Times New Roman" w:cs="Times New Roman"/>
                      <w:color w:val="auto"/>
                      <w:kern w:val="0"/>
                      <w:sz w:val="21"/>
                      <w:szCs w:val="21"/>
                    </w:rPr>
                    <w:t>次</w:t>
                  </w:r>
                </w:p>
              </w:tc>
              <w:tc>
                <w:tcPr>
                  <w:tcW w:w="1086" w:type="dxa"/>
                  <w:tcBorders>
                    <w:tl2br w:val="nil"/>
                    <w:tr2bl w:val="nil"/>
                  </w:tcBorders>
                  <w:noWrap/>
                  <w:vAlign w:val="center"/>
                </w:tcPr>
                <w:p>
                  <w:pPr>
                    <w:keepNext w:val="0"/>
                    <w:keepLines w:val="0"/>
                    <w:pageBreakBefore w:val="0"/>
                    <w:widowControl w:val="0"/>
                    <w:kinsoku/>
                    <w:wordWrap/>
                    <w:overflowPunct/>
                    <w:topLinePunct w:val="0"/>
                    <w:autoSpaceDE/>
                    <w:autoSpaceDN/>
                    <w:bidi w:val="0"/>
                    <w:snapToGrid/>
                    <w:spacing w:beforeAutospacing="0" w:afterAutospacing="0" w:line="240" w:lineRule="auto"/>
                    <w:ind w:left="0" w:leftChars="0" w:right="0" w:rightChars="0" w:firstLine="0" w:firstLineChars="0"/>
                    <w:jc w:val="center"/>
                    <w:rPr>
                      <w:rFonts w:hint="default" w:ascii="Times New Roman" w:hAnsi="Times New Roman" w:cs="Times New Roman"/>
                      <w:color w:val="auto"/>
                      <w:kern w:val="0"/>
                      <w:sz w:val="21"/>
                      <w:szCs w:val="21"/>
                    </w:rPr>
                  </w:pPr>
                  <w:r>
                    <w:rPr>
                      <w:rFonts w:hint="default" w:ascii="Times New Roman" w:hAnsi="Times New Roman" w:cs="Times New Roman"/>
                      <w:color w:val="auto"/>
                      <w:kern w:val="0"/>
                      <w:sz w:val="21"/>
                      <w:szCs w:val="21"/>
                    </w:rPr>
                    <w:t>停止生产及时检修</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eastAsia" w:ascii="Times New Roman" w:hAnsi="Times New Roman" w:eastAsia="宋体" w:cs="Times New Roman"/>
                <w:bCs/>
                <w:color w:val="auto"/>
                <w:spacing w:val="-10"/>
                <w:sz w:val="24"/>
                <w:szCs w:val="24"/>
                <w:lang w:val="en-US" w:eastAsia="zh-CN"/>
              </w:rPr>
              <w:t>2、</w:t>
            </w:r>
            <w:r>
              <w:rPr>
                <w:rFonts w:hint="default" w:ascii="Times New Roman" w:hAnsi="Times New Roman" w:eastAsia="宋体" w:cs="Times New Roman"/>
                <w:bCs/>
                <w:color w:val="auto"/>
                <w:spacing w:val="-10"/>
                <w:sz w:val="24"/>
                <w:szCs w:val="24"/>
                <w:lang w:val="en-US" w:eastAsia="zh-CN"/>
              </w:rPr>
              <w:t>治理设施</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本项目灰渣仓、燃料库、仓储库均为封闭结构，本项目</w:t>
            </w:r>
            <w:r>
              <w:rPr>
                <w:rFonts w:hint="default" w:ascii="Times New Roman" w:hAnsi="Times New Roman" w:cs="Times New Roman"/>
                <w:color w:val="auto"/>
                <w:sz w:val="24"/>
                <w:szCs w:val="24"/>
              </w:rPr>
              <w:t>采取</w:t>
            </w:r>
            <w:r>
              <w:rPr>
                <w:rFonts w:hint="default" w:ascii="Times New Roman" w:hAnsi="Times New Roman" w:cs="Times New Roman"/>
                <w:color w:val="auto"/>
                <w:sz w:val="24"/>
                <w:szCs w:val="24"/>
                <w:lang w:val="en-US" w:eastAsia="zh-CN"/>
              </w:rPr>
              <w:t>输送传送带封闭设置</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运输车辆装卸区设置遮挡设施，清选工艺采用封闭式清理筛，可使颗粒物无组织排放量减少90%。</w:t>
            </w:r>
            <w:r>
              <w:rPr>
                <w:rFonts w:hint="eastAsia" w:ascii="Times New Roman" w:hAnsi="Times New Roman" w:cs="Times New Roman"/>
                <w:color w:val="auto"/>
                <w:sz w:val="24"/>
                <w:szCs w:val="24"/>
                <w:lang w:val="en-US" w:eastAsia="zh-CN"/>
              </w:rPr>
              <w:t>烘干塔体两侧排气孔设置折流挡板，有效控制杂质及大粒径粉尘的排放。</w:t>
            </w:r>
            <w:r>
              <w:rPr>
                <w:rFonts w:hint="default" w:ascii="Times New Roman" w:hAnsi="Times New Roman" w:cs="Times New Roman"/>
                <w:color w:val="auto"/>
                <w:sz w:val="24"/>
                <w:szCs w:val="24"/>
                <w:lang w:val="en-US" w:eastAsia="zh-CN"/>
              </w:rPr>
              <w:t>上述大气污染防治措施均为</w:t>
            </w:r>
            <w:r>
              <w:rPr>
                <w:rFonts w:hint="default" w:ascii="Times New Roman" w:hAnsi="Times New Roman" w:eastAsia="宋体" w:cs="Times New Roman"/>
                <w:bCs/>
                <w:color w:val="auto"/>
                <w:spacing w:val="-10"/>
                <w:sz w:val="24"/>
                <w:szCs w:val="24"/>
                <w:lang w:val="en-US" w:eastAsia="zh-CN"/>
              </w:rPr>
              <w:t>《逸散性工业粉尘控制技术（中国环境科学出版社）》中推荐的治理措施，为比较常见的、应用广泛且技术相对成熟的无组织废气治理措施。对照《排污许可证申请与核发技术规范 工业炉窑》</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HJ1121-2020</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，本项目灰渣仓、燃料库、仓储库均为封闭结构，物料储存，输送采取密闭措施为可行性技术</w:t>
            </w:r>
            <w:r>
              <w:rPr>
                <w:rFonts w:hint="eastAsia"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t>本项目输送带封闭，装卸区设置遮挡，烘干塔两侧设置遮挡，为可行性技术。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bCs/>
                <w:color w:val="auto"/>
                <w:spacing w:val="-10"/>
                <w:sz w:val="24"/>
                <w:szCs w:val="24"/>
                <w:lang w:val="en-US" w:eastAsia="zh-CN"/>
              </w:rPr>
              <w:t>采用低氮燃烧技术，配备</w:t>
            </w:r>
            <w:r>
              <w:rPr>
                <w:rFonts w:hint="default" w:ascii="Times New Roman" w:hAnsi="Times New Roman" w:eastAsia="宋体" w:cs="Times New Roman"/>
                <w:bCs/>
                <w:color w:val="auto"/>
                <w:spacing w:val="-10"/>
                <w:sz w:val="24"/>
                <w:szCs w:val="24"/>
                <w:lang w:val="en-US" w:eastAsia="zh-CN"/>
              </w:rPr>
              <w:t>1台布袋除尘器，热风炉烟气经布袋除尘器净化处理后由15m高烟囱排放。热风炉燃用生物质压块燃料，燃料中含硫量较低，烟气中二氧化硫浓度较低，因此，本项目未设置脱硫设施。本项目的特点为窑炉设施规模较小、烟气中颗粒物浓度较高，袋式除尘除尘效率高，且适用于小型规模窑炉设施，为本项目最佳窑炉烟气除尘技术选择。</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（3）排放口基本信息</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本项目排放口情况见下表：</w:t>
            </w:r>
          </w:p>
          <w:p>
            <w:pPr>
              <w:pStyle w:val="80"/>
              <w:adjustRightInd/>
              <w:snapToGrid/>
              <w:spacing w:line="240" w:lineRule="auto"/>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表4-4排气口基本情况一览表</w:t>
            </w:r>
          </w:p>
          <w:tbl>
            <w:tblPr>
              <w:tblStyle w:val="31"/>
              <w:tblW w:w="8665"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06"/>
              <w:gridCol w:w="879"/>
              <w:gridCol w:w="948"/>
              <w:gridCol w:w="953"/>
              <w:gridCol w:w="862"/>
              <w:gridCol w:w="862"/>
              <w:gridCol w:w="862"/>
              <w:gridCol w:w="862"/>
              <w:gridCol w:w="862"/>
              <w:gridCol w:w="86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编号</w:t>
                  </w:r>
                </w:p>
              </w:tc>
              <w:tc>
                <w:tcPr>
                  <w:tcW w:w="87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名称</w:t>
                  </w:r>
                </w:p>
              </w:tc>
              <w:tc>
                <w:tcPr>
                  <w:tcW w:w="1901"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排气筒底部中心坐标</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排气筒高度（m）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排气筒出口</w:t>
                  </w:r>
                  <w:r>
                    <w:rPr>
                      <w:rFonts w:hint="eastAsia" w:cs="Times New Roman"/>
                      <w:b w:val="0"/>
                      <w:bCs w:val="0"/>
                      <w:i w:val="0"/>
                      <w:iCs w:val="0"/>
                      <w:color w:val="auto"/>
                      <w:spacing w:val="0"/>
                      <w:kern w:val="0"/>
                      <w:sz w:val="21"/>
                      <w:szCs w:val="21"/>
                      <w:lang w:val="en-US" w:eastAsia="zh-CN"/>
                    </w:rPr>
                    <w:t>内径</w:t>
                  </w:r>
                  <w:r>
                    <w:rPr>
                      <w:rFonts w:hint="default" w:ascii="Times New Roman" w:hAnsi="Times New Roman" w:eastAsia="宋体" w:cs="Times New Roman"/>
                      <w:b w:val="0"/>
                      <w:bCs w:val="0"/>
                      <w:i w:val="0"/>
                      <w:iCs w:val="0"/>
                      <w:color w:val="auto"/>
                      <w:spacing w:val="0"/>
                      <w:kern w:val="0"/>
                      <w:sz w:val="21"/>
                      <w:szCs w:val="21"/>
                      <w:lang w:val="en-US" w:eastAsia="zh-CN"/>
                    </w:rPr>
                    <w:t>（m）</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烟气流速（m/s）</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烟气温度（℃）</w:t>
                  </w:r>
                </w:p>
              </w:tc>
              <w:tc>
                <w:tcPr>
                  <w:tcW w:w="862"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r>
                    <w:rPr>
                      <w:rFonts w:hint="default" w:ascii="Times New Roman" w:hAnsi="Times New Roman" w:eastAsia="宋体" w:cs="Times New Roman"/>
                      <w:b w:val="0"/>
                      <w:bCs w:val="0"/>
                      <w:i w:val="0"/>
                      <w:iCs w:val="0"/>
                      <w:color w:val="auto"/>
                      <w:spacing w:val="0"/>
                      <w:kern w:val="0"/>
                      <w:sz w:val="21"/>
                      <w:szCs w:val="21"/>
                      <w:lang w:val="en-US" w:eastAsia="zh-CN"/>
                    </w:rPr>
                    <w:t>年排放小时数（h）</w:t>
                  </w:r>
                </w:p>
              </w:tc>
              <w:tc>
                <w:tcPr>
                  <w:tcW w:w="869"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排放工况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706"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7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经度</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纬度</w:t>
                  </w: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2"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c>
                <w:tcPr>
                  <w:tcW w:w="869"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22" w:hRule="atLeast"/>
              </w:trPr>
              <w:tc>
                <w:tcPr>
                  <w:tcW w:w="706"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DA</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001</w:t>
                  </w:r>
                </w:p>
              </w:tc>
              <w:tc>
                <w:tcPr>
                  <w:tcW w:w="87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热风炉烟囱</w:t>
                  </w:r>
                </w:p>
              </w:tc>
              <w:tc>
                <w:tcPr>
                  <w:tcW w:w="948"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129.69001743</w:t>
                  </w:r>
                </w:p>
              </w:tc>
              <w:tc>
                <w:tcPr>
                  <w:tcW w:w="95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49.28202890</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15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0.4</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22.87</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8</w:t>
                  </w:r>
                  <w:r>
                    <w:rPr>
                      <w:rFonts w:hint="default" w:ascii="Times New Roman" w:hAnsi="Times New Roman" w:eastAsia="宋体" w:cs="Times New Roman"/>
                      <w:b w:val="0"/>
                      <w:bCs w:val="0"/>
                      <w:i w:val="0"/>
                      <w:iCs w:val="0"/>
                      <w:color w:val="auto"/>
                      <w:spacing w:val="0"/>
                      <w:kern w:val="0"/>
                      <w:sz w:val="21"/>
                      <w:szCs w:val="21"/>
                      <w:lang w:val="en-US" w:eastAsia="zh-CN"/>
                    </w:rPr>
                    <w:t>5</w:t>
                  </w:r>
                </w:p>
              </w:tc>
              <w:tc>
                <w:tcPr>
                  <w:tcW w:w="862"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720</w:t>
                  </w:r>
                </w:p>
              </w:tc>
              <w:tc>
                <w:tcPr>
                  <w:tcW w:w="869"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正常</w:t>
                  </w:r>
                </w:p>
              </w:tc>
            </w:tr>
          </w:tbl>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kern w:val="0"/>
                <w:sz w:val="24"/>
                <w:szCs w:val="24"/>
                <w:highlight w:val="none"/>
                <w:u w:val="none" w:color="000000"/>
                <w:lang w:val="en-US" w:eastAsia="zh-CN" w:bidi="ar-SA"/>
              </w:rPr>
            </w:pPr>
            <w:r>
              <w:rPr>
                <w:rFonts w:hint="eastAsia" w:ascii="Times New Roman" w:hAnsi="Times New Roman" w:eastAsia="宋体" w:cs="Times New Roman"/>
                <w:color w:val="auto"/>
                <w:kern w:val="0"/>
                <w:sz w:val="24"/>
                <w:szCs w:val="24"/>
                <w:highlight w:val="none"/>
                <w:u w:val="none" w:color="000000"/>
                <w:lang w:val="en-US" w:eastAsia="zh-CN" w:bidi="ar-SA"/>
              </w:rPr>
              <w:t>项目排气筒高度设置合理性分析：</w:t>
            </w:r>
          </w:p>
          <w:p>
            <w:pPr>
              <w:adjustRightInd w:val="0"/>
              <w:snapToGrid w:val="0"/>
              <w:spacing w:line="360" w:lineRule="auto"/>
              <w:ind w:firstLine="480" w:firstLineChars="200"/>
              <w:rPr>
                <w:rFonts w:hint="default"/>
                <w:color w:val="auto"/>
                <w:lang w:val="en-US" w:eastAsia="zh-CN"/>
              </w:rPr>
            </w:pPr>
            <w:r>
              <w:rPr>
                <w:rFonts w:hint="eastAsia" w:ascii="Times New Roman" w:hAnsi="Times New Roman" w:eastAsia="宋体" w:cs="Times New Roman"/>
                <w:color w:val="auto"/>
                <w:kern w:val="0"/>
                <w:sz w:val="24"/>
                <w:szCs w:val="24"/>
                <w:highlight w:val="none"/>
                <w:u w:val="none" w:color="000000"/>
                <w:lang w:val="en-US" w:eastAsia="zh-CN" w:bidi="ar-SA"/>
              </w:rPr>
              <w:t>根据</w:t>
            </w:r>
            <w:r>
              <w:rPr>
                <w:rFonts w:hint="default" w:ascii="Times New Roman" w:hAnsi="Times New Roman" w:eastAsia="宋体" w:cs="Times New Roman"/>
                <w:color w:val="auto"/>
                <w:kern w:val="0"/>
                <w:sz w:val="24"/>
                <w:szCs w:val="24"/>
                <w:highlight w:val="none"/>
                <w:u w:val="none" w:color="000000"/>
                <w:lang w:val="en-US" w:eastAsia="zh-CN" w:bidi="ar-SA"/>
              </w:rPr>
              <w:t>《工业炉窑大气污染物排放标准》（GB9078-1996）</w:t>
            </w:r>
            <w:r>
              <w:rPr>
                <w:rFonts w:hint="eastAsia" w:ascii="Times New Roman" w:hAnsi="Times New Roman" w:eastAsia="宋体" w:cs="Times New Roman"/>
                <w:color w:val="auto"/>
                <w:kern w:val="0"/>
                <w:sz w:val="24"/>
                <w:szCs w:val="24"/>
                <w:highlight w:val="none"/>
                <w:u w:val="none" w:color="000000"/>
                <w:lang w:val="en-US" w:eastAsia="zh-CN" w:bidi="ar-SA"/>
              </w:rPr>
              <w:t>要求，工业炉窑烟囱最低允许高度为15m，当烟囱</w:t>
            </w:r>
            <w:r>
              <w:rPr>
                <w:rFonts w:hint="eastAsia" w:cs="Times New Roman"/>
                <w:color w:val="auto"/>
                <w:kern w:val="0"/>
                <w:sz w:val="24"/>
                <w:szCs w:val="24"/>
                <w:highlight w:val="none"/>
                <w:u w:val="none" w:color="000000"/>
                <w:lang w:val="en-US" w:eastAsia="zh-CN" w:bidi="ar-SA"/>
              </w:rPr>
              <w:t>（或排气筒）</w:t>
            </w:r>
            <w:r>
              <w:rPr>
                <w:rFonts w:hint="eastAsia" w:ascii="Times New Roman" w:hAnsi="Times New Roman" w:eastAsia="宋体" w:cs="Times New Roman"/>
                <w:color w:val="auto"/>
                <w:kern w:val="0"/>
                <w:sz w:val="24"/>
                <w:szCs w:val="24"/>
                <w:highlight w:val="none"/>
                <w:u w:val="none" w:color="000000"/>
                <w:lang w:val="en-US" w:eastAsia="zh-CN" w:bidi="ar-SA"/>
              </w:rPr>
              <w:t>周围半径200m距离内有建筑物时，应高出最高建筑物3m以上</w:t>
            </w:r>
            <w:r>
              <w:rPr>
                <w:rFonts w:hint="eastAsia" w:cs="Times New Roman"/>
                <w:color w:val="auto"/>
                <w:kern w:val="0"/>
                <w:sz w:val="24"/>
                <w:szCs w:val="24"/>
                <w:highlight w:val="none"/>
                <w:u w:val="none" w:color="000000"/>
                <w:lang w:val="en-US" w:eastAsia="zh-CN" w:bidi="ar-SA"/>
              </w:rPr>
              <w:t>。</w:t>
            </w:r>
            <w:r>
              <w:rPr>
                <w:rFonts w:hint="eastAsia" w:ascii="Times New Roman" w:hAnsi="Times New Roman" w:eastAsia="宋体" w:cs="Times New Roman"/>
                <w:color w:val="auto"/>
                <w:kern w:val="0"/>
                <w:sz w:val="24"/>
                <w:szCs w:val="24"/>
                <w:highlight w:val="none"/>
                <w:u w:val="none" w:color="000000"/>
                <w:lang w:val="en-US" w:eastAsia="zh-CN" w:bidi="ar-SA"/>
              </w:rPr>
              <w:t>本项目排气筒高度15m，周边200米范围内无12m以上建筑，因此本项目符合排气筒设置规范。</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（4）排放标准</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color w:val="auto"/>
                <w:sz w:val="24"/>
                <w:szCs w:val="24"/>
                <w:lang w:val="en-US" w:eastAsia="zh-CN"/>
              </w:rPr>
              <w:t>本项目运营期颗粒物无组织排放执行《大气污染物综合排放标准》（GB16297-1996）表2中无组织排放浓度监控限值要求</w:t>
            </w:r>
            <w:r>
              <w:rPr>
                <w:rFonts w:hint="eastAsia" w:cs="Times New Roman"/>
                <w:color w:val="auto"/>
                <w:sz w:val="24"/>
                <w:szCs w:val="24"/>
                <w:lang w:val="en-US" w:eastAsia="zh-CN"/>
              </w:rPr>
              <w:t>，工业炉窑周边无组织废气执行</w:t>
            </w:r>
            <w:r>
              <w:rPr>
                <w:rFonts w:hint="default" w:ascii="Times New Roman" w:hAnsi="Times New Roman" w:eastAsia="宋体" w:cs="Times New Roman"/>
                <w:color w:val="auto"/>
                <w:sz w:val="24"/>
                <w:szCs w:val="24"/>
                <w:lang w:val="en-US" w:eastAsia="zh-CN"/>
              </w:rPr>
              <w:t>《工业炉窑大气污染物排放标准》（GB9078-1996）中</w:t>
            </w:r>
            <w:r>
              <w:rPr>
                <w:rFonts w:hint="eastAsia" w:ascii="Times New Roman" w:hAnsi="Times New Roman" w:eastAsia="宋体" w:cs="Times New Roman"/>
                <w:color w:val="auto"/>
                <w:sz w:val="24"/>
                <w:szCs w:val="24"/>
                <w:lang w:val="en-US" w:eastAsia="zh-CN"/>
              </w:rPr>
              <w:t>表3排放标准，</w:t>
            </w:r>
            <w:r>
              <w:rPr>
                <w:rFonts w:hint="default" w:ascii="Times New Roman" w:hAnsi="Times New Roman" w:eastAsia="宋体" w:cs="Times New Roman"/>
                <w:color w:val="auto"/>
                <w:sz w:val="24"/>
                <w:szCs w:val="24"/>
                <w:lang w:val="en-US" w:eastAsia="zh-CN"/>
              </w:rPr>
              <w:t>热风炉烟气中颗粒物、烟气黑度、二氧化硫有组织排放执行《工业炉窑大气污染物排放标准》（GB9078-1996）中表2和表4二级标准</w:t>
            </w:r>
            <w:r>
              <w:rPr>
                <w:rFonts w:hint="default" w:ascii="Times New Roman" w:hAnsi="Times New Roman" w:eastAsia="宋体" w:cs="Times New Roman"/>
                <w:color w:val="auto"/>
                <w:lang w:val="en-US" w:eastAsia="zh-CN"/>
              </w:rPr>
              <w:t>。</w:t>
            </w:r>
          </w:p>
          <w:p>
            <w:pPr>
              <w:keepNext w:val="0"/>
              <w:keepLines w:val="0"/>
              <w:pageBreakBefore w:val="0"/>
              <w:widowControl w:val="0"/>
              <w:numPr>
                <w:ilvl w:val="0"/>
                <w:numId w:val="6"/>
              </w:numPr>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监测要求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本项目运营期大气污染源监测要求对照</w:t>
            </w:r>
            <w:r>
              <w:rPr>
                <w:rFonts w:hint="eastAsia" w:ascii="Times New Roman" w:hAnsi="Times New Roman" w:eastAsia="宋体" w:cs="Times New Roman"/>
                <w:bCs/>
                <w:color w:val="auto"/>
                <w:spacing w:val="-10"/>
                <w:sz w:val="24"/>
                <w:szCs w:val="24"/>
                <w:lang w:val="en-US" w:eastAsia="zh-CN"/>
              </w:rPr>
              <w:t>《排污单位自行监测技术指南 总则》（HJ 819-2017）、</w:t>
            </w:r>
            <w:r>
              <w:rPr>
                <w:rFonts w:hint="default" w:ascii="Times New Roman" w:hAnsi="Times New Roman" w:eastAsia="宋体" w:cs="Times New Roman"/>
                <w:bCs/>
                <w:color w:val="auto"/>
                <w:spacing w:val="-10"/>
                <w:sz w:val="24"/>
                <w:szCs w:val="24"/>
                <w:lang w:val="en-US" w:eastAsia="zh-CN"/>
              </w:rPr>
              <w:t>《排污许可证申请与核发技术规范 工业窑炉》（HJ1121-2020）</w:t>
            </w:r>
            <w:r>
              <w:rPr>
                <w:rFonts w:hint="eastAsia" w:ascii="Times New Roman" w:hAnsi="Times New Roman" w:eastAsia="宋体" w:cs="Times New Roman"/>
                <w:bCs/>
                <w:color w:val="auto"/>
                <w:spacing w:val="-10"/>
                <w:sz w:val="24"/>
                <w:szCs w:val="24"/>
                <w:lang w:val="en-US" w:eastAsia="zh-CN"/>
              </w:rPr>
              <w:t>、《</w:t>
            </w:r>
            <w:r>
              <w:rPr>
                <w:rFonts w:hint="eastAsia" w:ascii="Times New Roman" w:hAnsi="Times New Roman" w:eastAsia="宋体" w:cs="Times New Roman"/>
                <w:bCs/>
                <w:color w:val="auto"/>
                <w:spacing w:val="-10"/>
                <w:sz w:val="24"/>
                <w:szCs w:val="24"/>
                <w:lang w:val="en-US" w:eastAsia="zh-CN"/>
              </w:rPr>
              <w:fldChar w:fldCharType="begin"/>
            </w:r>
            <w:r>
              <w:rPr>
                <w:rFonts w:hint="eastAsia" w:ascii="Times New Roman" w:hAnsi="Times New Roman" w:eastAsia="宋体" w:cs="Times New Roman"/>
                <w:bCs/>
                <w:color w:val="auto"/>
                <w:spacing w:val="-10"/>
                <w:sz w:val="24"/>
                <w:szCs w:val="24"/>
                <w:lang w:val="en-US" w:eastAsia="zh-CN"/>
              </w:rPr>
              <w:instrText xml:space="preserve"> HYPERLINK "http://kjs.mep.gov.cn/hjbhbz/bzwb/shjbh/xgbzh/201705/W020170511332490849000.pdf" </w:instrText>
            </w:r>
            <w:r>
              <w:rPr>
                <w:rFonts w:hint="eastAsia" w:ascii="Times New Roman" w:hAnsi="Times New Roman" w:eastAsia="宋体" w:cs="Times New Roman"/>
                <w:bCs/>
                <w:color w:val="auto"/>
                <w:spacing w:val="-10"/>
                <w:sz w:val="24"/>
                <w:szCs w:val="24"/>
                <w:lang w:val="en-US" w:eastAsia="zh-CN"/>
              </w:rPr>
              <w:fldChar w:fldCharType="separate"/>
            </w:r>
            <w:r>
              <w:rPr>
                <w:rFonts w:hint="eastAsia" w:ascii="Times New Roman" w:hAnsi="Times New Roman" w:eastAsia="宋体" w:cs="Times New Roman"/>
                <w:bCs/>
                <w:color w:val="auto"/>
                <w:spacing w:val="-10"/>
                <w:sz w:val="24"/>
                <w:szCs w:val="24"/>
                <w:lang w:val="en-US" w:eastAsia="zh-CN"/>
              </w:rPr>
              <w:t>排污单位自行监测技术指南 农副食品加工业》（HJ986-2018）</w:t>
            </w:r>
            <w:r>
              <w:rPr>
                <w:rFonts w:hint="eastAsia" w:ascii="Times New Roman" w:hAnsi="Times New Roman" w:eastAsia="宋体" w:cs="Times New Roman"/>
                <w:bCs/>
                <w:color w:val="auto"/>
                <w:spacing w:val="-10"/>
                <w:sz w:val="24"/>
                <w:szCs w:val="24"/>
                <w:lang w:val="en-US" w:eastAsia="zh-CN"/>
              </w:rPr>
              <w:fldChar w:fldCharType="end"/>
            </w:r>
            <w:r>
              <w:rPr>
                <w:rFonts w:hint="default" w:ascii="Times New Roman" w:hAnsi="Times New Roman" w:eastAsia="宋体" w:cs="Times New Roman"/>
                <w:bCs/>
                <w:color w:val="auto"/>
                <w:spacing w:val="-10"/>
                <w:sz w:val="24"/>
                <w:szCs w:val="24"/>
                <w:lang w:val="en-US" w:eastAsia="zh-CN"/>
              </w:rPr>
              <w:t>中“5.4 自行监测管理要求”执行。</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表4-5大气污染源监测要求信息表</w:t>
            </w:r>
          </w:p>
          <w:tbl>
            <w:tblPr>
              <w:tblStyle w:val="30"/>
              <w:tblW w:w="8663"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165"/>
              <w:gridCol w:w="1924"/>
              <w:gridCol w:w="3362"/>
              <w:gridCol w:w="121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污染源名称</w:t>
                  </w:r>
                </w:p>
              </w:tc>
              <w:tc>
                <w:tcPr>
                  <w:tcW w:w="1924"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监测点位</w:t>
                  </w:r>
                </w:p>
              </w:tc>
              <w:tc>
                <w:tcPr>
                  <w:tcW w:w="336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监测因子</w:t>
                  </w:r>
                </w:p>
              </w:tc>
              <w:tc>
                <w:tcPr>
                  <w:tcW w:w="1212" w:type="dxa"/>
                  <w:vMerge w:val="restart"/>
                  <w:tcBorders>
                    <w:tl2br w:val="nil"/>
                    <w:tr2bl w:val="nil"/>
                  </w:tcBorders>
                  <w:noWrap w:val="0"/>
                  <w:vAlign w:val="center"/>
                </w:tcPr>
                <w:p>
                  <w:pPr>
                    <w:pStyle w:val="2"/>
                    <w:keepNext w:val="0"/>
                    <w:keepLines w:val="0"/>
                    <w:pageBreakBefore w:val="0"/>
                    <w:widowControl w:val="0"/>
                    <w:tabs>
                      <w:tab w:val="right" w:leader="dot" w:pos="8495"/>
                    </w:tabs>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监测频次</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12"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212"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DA001</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热风炉烟囱</w:t>
                  </w:r>
                </w:p>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（有组织排放源）</w:t>
                  </w:r>
                </w:p>
              </w:tc>
              <w:tc>
                <w:tcPr>
                  <w:tcW w:w="1924" w:type="dxa"/>
                  <w:vMerge w:val="restart"/>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烟囱预留监测孔</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颗粒物、二氧化硫</w:t>
                  </w:r>
                </w:p>
              </w:tc>
              <w:tc>
                <w:tcPr>
                  <w:tcW w:w="121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氮氧化物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每月运行期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0" w:hRule="atLeast"/>
                <w:jc w:val="center"/>
              </w:trPr>
              <w:tc>
                <w:tcPr>
                  <w:tcW w:w="2165" w:type="dxa"/>
                  <w:vMerge w:val="continue"/>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烟囱出口</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烟气黑度</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ascii="Times New Roman" w:hAnsi="Times New Roman" w:eastAsia="宋体" w:cs="Times New Roman"/>
                      <w:caps w:val="0"/>
                      <w:snapToGrid w:val="0"/>
                      <w:color w:val="auto"/>
                      <w:kern w:val="0"/>
                      <w:sz w:val="21"/>
                      <w:szCs w:val="21"/>
                      <w:highlight w:val="none"/>
                      <w:lang w:val="en-US" w:eastAsia="zh-CN"/>
                    </w:rPr>
                    <w:t>无组织排放源</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bCs/>
                      <w:color w:val="auto"/>
                      <w:spacing w:val="-10"/>
                      <w:szCs w:val="21"/>
                      <w:lang w:val="en-US" w:eastAsia="zh-CN"/>
                    </w:rPr>
                    <w:t>厂区各边界（共4个监测点）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3" w:hRule="atLeast"/>
                <w:jc w:val="center"/>
              </w:trPr>
              <w:tc>
                <w:tcPr>
                  <w:tcW w:w="2165"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eastAsia" w:cs="Times New Roman"/>
                      <w:caps w:val="0"/>
                      <w:snapToGrid w:val="0"/>
                      <w:color w:val="auto"/>
                      <w:kern w:val="0"/>
                      <w:sz w:val="21"/>
                      <w:szCs w:val="21"/>
                      <w:highlight w:val="none"/>
                      <w:lang w:val="en-US" w:eastAsia="zh-CN"/>
                    </w:rPr>
                    <w:t>工业炉窑周边</w:t>
                  </w:r>
                </w:p>
              </w:tc>
              <w:tc>
                <w:tcPr>
                  <w:tcW w:w="1924"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bCs/>
                      <w:color w:val="auto"/>
                      <w:spacing w:val="-10"/>
                      <w:szCs w:val="21"/>
                      <w:lang w:val="en-US" w:eastAsia="zh-CN"/>
                    </w:rPr>
                  </w:pPr>
                  <w:r>
                    <w:rPr>
                      <w:rFonts w:hint="eastAsia" w:cs="Times New Roman"/>
                      <w:bCs/>
                      <w:color w:val="auto"/>
                      <w:spacing w:val="-10"/>
                      <w:szCs w:val="21"/>
                      <w:lang w:val="en-US" w:eastAsia="zh-CN"/>
                    </w:rPr>
                    <w:t>一个监测点</w:t>
                  </w:r>
                </w:p>
              </w:tc>
              <w:tc>
                <w:tcPr>
                  <w:tcW w:w="3362" w:type="dxa"/>
                  <w:tcBorders>
                    <w:tl2br w:val="nil"/>
                    <w:tr2bl w:val="nil"/>
                  </w:tcBorders>
                  <w:noWrap w:val="0"/>
                  <w:vAlign w:val="center"/>
                </w:tcPr>
                <w:p>
                  <w:pPr>
                    <w:pStyle w:val="2"/>
                    <w:tabs>
                      <w:tab w:val="right" w:leader="dot" w:pos="8495"/>
                    </w:tabs>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颗粒物</w:t>
                  </w:r>
                </w:p>
              </w:tc>
              <w:tc>
                <w:tcPr>
                  <w:tcW w:w="1212" w:type="dxa"/>
                  <w:tcBorders>
                    <w:tl2br w:val="nil"/>
                    <w:tr2bl w:val="nil"/>
                  </w:tcBorders>
                  <w:noWrap w:val="0"/>
                  <w:vAlign w:val="center"/>
                </w:tcPr>
                <w:p>
                  <w:pPr>
                    <w:spacing w:line="240" w:lineRule="auto"/>
                    <w:ind w:left="0" w:leftChars="0"/>
                    <w:jc w:val="center"/>
                    <w:rPr>
                      <w:rFonts w:hint="default" w:ascii="Times New Roman" w:hAnsi="Times New Roman" w:eastAsia="宋体" w:cs="Times New Roman"/>
                      <w:caps w:val="0"/>
                      <w:snapToGrid w:val="0"/>
                      <w:color w:val="auto"/>
                      <w:kern w:val="0"/>
                      <w:sz w:val="21"/>
                      <w:szCs w:val="21"/>
                      <w:highlight w:val="none"/>
                      <w:lang w:val="en-US" w:eastAsia="zh-CN"/>
                    </w:rPr>
                  </w:pPr>
                  <w:r>
                    <w:rPr>
                      <w:rFonts w:hint="default" w:ascii="Times New Roman" w:hAnsi="Times New Roman" w:eastAsia="宋体" w:cs="Times New Roman"/>
                      <w:caps w:val="0"/>
                      <w:snapToGrid w:val="0"/>
                      <w:color w:val="auto"/>
                      <w:kern w:val="0"/>
                      <w:sz w:val="21"/>
                      <w:szCs w:val="21"/>
                      <w:highlight w:val="none"/>
                      <w:lang w:val="en-US" w:eastAsia="zh-CN"/>
                    </w:rPr>
                    <w:t>1次/</w:t>
                  </w:r>
                  <w:r>
                    <w:rPr>
                      <w:rFonts w:hint="eastAsia" w:cs="Times New Roman"/>
                      <w:caps w:val="0"/>
                      <w:snapToGrid w:val="0"/>
                      <w:color w:val="auto"/>
                      <w:kern w:val="0"/>
                      <w:sz w:val="21"/>
                      <w:szCs w:val="21"/>
                      <w:highlight w:val="none"/>
                      <w:lang w:val="en-US" w:eastAsia="zh-CN"/>
                    </w:rPr>
                    <w:t>每年运行期</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（6）达标排放</w:t>
            </w:r>
          </w:p>
          <w:p>
            <w:pPr>
              <w:pStyle w:val="80"/>
              <w:adjustRightInd/>
              <w:snapToGrid/>
              <w:rPr>
                <w:rFonts w:hint="default" w:ascii="Times New Roman" w:hAnsi="Times New Roman" w:cs="Times New Roman"/>
                <w:b/>
                <w:bCs/>
                <w:color w:val="auto"/>
                <w:sz w:val="21"/>
                <w:szCs w:val="21"/>
                <w:lang w:val="en-US" w:eastAsia="zh-CN"/>
              </w:rPr>
            </w:pPr>
            <w:r>
              <w:rPr>
                <w:rFonts w:hint="default" w:ascii="Times New Roman" w:hAnsi="Times New Roman" w:cs="Times New Roman"/>
                <w:b/>
                <w:bCs/>
                <w:color w:val="auto"/>
                <w:sz w:val="21"/>
                <w:szCs w:val="21"/>
                <w:lang w:val="en-US" w:eastAsia="zh-CN"/>
              </w:rPr>
              <w:t>表4-6大气污染物有组织</w:t>
            </w:r>
            <w:r>
              <w:rPr>
                <w:rFonts w:hint="eastAsia" w:cs="Times New Roman"/>
                <w:b/>
                <w:bCs/>
                <w:color w:val="auto"/>
                <w:sz w:val="21"/>
                <w:szCs w:val="21"/>
                <w:lang w:val="en-US" w:eastAsia="zh-CN"/>
              </w:rPr>
              <w:t>排放</w:t>
            </w:r>
            <w:r>
              <w:rPr>
                <w:rFonts w:hint="default" w:ascii="Times New Roman" w:hAnsi="Times New Roman" w:cs="Times New Roman"/>
                <w:b/>
                <w:bCs/>
                <w:color w:val="auto"/>
                <w:sz w:val="21"/>
                <w:szCs w:val="21"/>
                <w:lang w:val="en-US" w:eastAsia="zh-CN"/>
              </w:rPr>
              <w:t>达标情况表</w:t>
            </w:r>
          </w:p>
          <w:tbl>
            <w:tblPr>
              <w:tblStyle w:val="31"/>
              <w:tblW w:w="8663" w:type="dxa"/>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25"/>
              <w:gridCol w:w="1657"/>
              <w:gridCol w:w="1703"/>
              <w:gridCol w:w="3057"/>
              <w:gridCol w:w="721"/>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3" w:hRule="atLeast"/>
              </w:trPr>
              <w:tc>
                <w:tcPr>
                  <w:tcW w:w="1525"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eastAsia="zh-CN"/>
                    </w:rPr>
                    <w:t>排放源</w:t>
                  </w:r>
                </w:p>
              </w:tc>
              <w:tc>
                <w:tcPr>
                  <w:tcW w:w="1657"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rPr>
                    <w:t>污染</w:t>
                  </w:r>
                  <w:r>
                    <w:rPr>
                      <w:rFonts w:hint="default" w:ascii="Times New Roman" w:hAnsi="Times New Roman" w:eastAsia="宋体" w:cs="Times New Roman"/>
                      <w:b w:val="0"/>
                      <w:bCs w:val="0"/>
                      <w:i w:val="0"/>
                      <w:iCs w:val="0"/>
                      <w:color w:val="auto"/>
                      <w:spacing w:val="0"/>
                      <w:kern w:val="0"/>
                      <w:sz w:val="21"/>
                      <w:szCs w:val="21"/>
                      <w:lang w:eastAsia="zh-CN"/>
                    </w:rPr>
                    <w:t>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r>
                    <w:rPr>
                      <w:rFonts w:hint="default" w:ascii="Times New Roman" w:hAnsi="Times New Roman" w:eastAsia="宋体" w:cs="Times New Roman"/>
                      <w:b w:val="0"/>
                      <w:bCs w:val="0"/>
                      <w:i w:val="0"/>
                      <w:iCs w:val="0"/>
                      <w:color w:val="auto"/>
                      <w:spacing w:val="0"/>
                      <w:kern w:val="0"/>
                      <w:sz w:val="21"/>
                      <w:szCs w:val="21"/>
                      <w:lang w:val="en-US" w:eastAsia="zh-CN"/>
                    </w:rPr>
                    <w:t>污染物排放</w:t>
                  </w:r>
                </w:p>
              </w:tc>
              <w:tc>
                <w:tcPr>
                  <w:tcW w:w="3778" w:type="dxa"/>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eastAsia="zh-CN"/>
                    </w:rPr>
                    <w:t>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eastAsia="zh-CN"/>
                    </w:rPr>
                    <w:t>排放</w:t>
                  </w:r>
                  <w:r>
                    <w:rPr>
                      <w:rFonts w:hint="default" w:ascii="Times New Roman" w:hAnsi="Times New Roman" w:eastAsia="宋体" w:cs="Times New Roman"/>
                      <w:b w:val="0"/>
                      <w:bCs w:val="0"/>
                      <w:i w:val="0"/>
                      <w:iCs w:val="0"/>
                      <w:color w:val="auto"/>
                      <w:spacing w:val="0"/>
                      <w:kern w:val="0"/>
                      <w:sz w:val="21"/>
                      <w:szCs w:val="21"/>
                      <w:lang w:val="en-US" w:eastAsia="zh-CN"/>
                    </w:rPr>
                    <w:t>浓度（</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3057"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rPr>
                    <w:t>《工业炉窑大气污染物排放标准》（GB9078-1996）</w:t>
                  </w:r>
                </w:p>
              </w:tc>
              <w:tc>
                <w:tcPr>
                  <w:tcW w:w="721" w:type="dxa"/>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是否</w:t>
                  </w:r>
                  <w:r>
                    <w:rPr>
                      <w:rFonts w:hint="default" w:ascii="Times New Roman" w:hAnsi="Times New Roman" w:eastAsia="宋体" w:cs="Times New Roman"/>
                      <w:b w:val="0"/>
                      <w:bCs w:val="0"/>
                      <w:i w:val="0"/>
                      <w:iCs w:val="0"/>
                      <w:color w:val="auto"/>
                      <w:spacing w:val="0"/>
                      <w:sz w:val="21"/>
                      <w:szCs w:val="21"/>
                      <w:vertAlign w:val="baseline"/>
                      <w:lang w:eastAsia="zh-CN"/>
                    </w:rPr>
                    <w:t>达标</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val="en-US" w:eastAsia="zh-CN"/>
                    </w:rPr>
                  </w:pPr>
                  <w:r>
                    <w:rPr>
                      <w:rFonts w:hint="default" w:ascii="Times New Roman" w:hAnsi="Times New Roman" w:eastAsia="宋体" w:cs="Times New Roman"/>
                      <w:b w:val="0"/>
                      <w:bCs w:val="0"/>
                      <w:i w:val="0"/>
                      <w:iCs w:val="0"/>
                      <w:color w:val="auto"/>
                      <w:spacing w:val="0"/>
                      <w:sz w:val="21"/>
                      <w:szCs w:val="21"/>
                      <w:vertAlign w:val="baseline"/>
                      <w:lang w:val="en-US" w:eastAsia="zh-CN"/>
                    </w:rPr>
                    <w:t>排放</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16" w:hRule="atLeast"/>
              </w:trPr>
              <w:tc>
                <w:tcPr>
                  <w:tcW w:w="1525"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657"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rPr>
                  </w:pPr>
                </w:p>
              </w:tc>
              <w:tc>
                <w:tcPr>
                  <w:tcW w:w="1703"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0"/>
                      <w:sz w:val="21"/>
                      <w:szCs w:val="21"/>
                      <w:lang w:val="en-US" w:eastAsia="zh-CN" w:bidi="ar-SA"/>
                    </w:rPr>
                  </w:pP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排放限值</w:t>
                  </w:r>
                  <w:r>
                    <w:rPr>
                      <w:rFonts w:hint="default" w:ascii="Times New Roman" w:hAnsi="Times New Roman" w:eastAsia="宋体" w:cs="Times New Roman"/>
                      <w:b w:val="0"/>
                      <w:bCs w:val="0"/>
                      <w:i w:val="0"/>
                      <w:iCs w:val="0"/>
                      <w:color w:val="auto"/>
                      <w:spacing w:val="0"/>
                      <w:kern w:val="0"/>
                      <w:sz w:val="21"/>
                      <w:szCs w:val="21"/>
                      <w:lang w:val="en-US" w:eastAsia="zh-CN"/>
                    </w:rPr>
                    <w:t>（</w:t>
                  </w:r>
                  <w:r>
                    <w:rPr>
                      <w:rFonts w:hint="default" w:ascii="Times New Roman" w:hAnsi="Times New Roman" w:eastAsia="宋体" w:cs="Times New Roman"/>
                      <w:b w:val="0"/>
                      <w:bCs w:val="0"/>
                      <w:color w:val="auto"/>
                      <w:spacing w:val="0"/>
                      <w:kern w:val="2"/>
                      <w:sz w:val="21"/>
                      <w:szCs w:val="21"/>
                      <w:vertAlign w:val="baseline"/>
                      <w:lang w:val="en-US" w:eastAsia="zh-CN" w:bidi="ar-SA"/>
                    </w:rPr>
                    <w:t>mg/m</w:t>
                  </w:r>
                  <w:r>
                    <w:rPr>
                      <w:rFonts w:hint="default" w:ascii="Times New Roman" w:hAnsi="Times New Roman" w:eastAsia="宋体" w:cs="Times New Roman"/>
                      <w:b w:val="0"/>
                      <w:bCs w:val="0"/>
                      <w:color w:val="auto"/>
                      <w:spacing w:val="0"/>
                      <w:kern w:val="2"/>
                      <w:sz w:val="21"/>
                      <w:szCs w:val="21"/>
                      <w:vertAlign w:val="superscript"/>
                      <w:lang w:val="en-US" w:eastAsia="zh-CN" w:bidi="ar-SA"/>
                    </w:rPr>
                    <w:t>3</w:t>
                  </w: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721" w:type="dxa"/>
                  <w:vMerge w:val="continue"/>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sz w:val="21"/>
                      <w:szCs w:val="21"/>
                      <w:vertAlign w:val="baseline"/>
                      <w:lang w:eastAsia="zh-CN"/>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68" w:hRule="atLeast"/>
              </w:trPr>
              <w:tc>
                <w:tcPr>
                  <w:tcW w:w="1525" w:type="dxa"/>
                  <w:vMerge w:val="restart"/>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DA001</w:t>
                  </w:r>
                </w:p>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热风炉烟囱</w:t>
                  </w: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颗粒物（烟尘）</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i w:val="0"/>
                      <w:iCs w:val="0"/>
                      <w:color w:val="auto"/>
                      <w:kern w:val="0"/>
                      <w:sz w:val="21"/>
                      <w:szCs w:val="21"/>
                      <w:u w:val="none"/>
                      <w:lang w:val="en-US" w:eastAsia="zh-CN" w:bidi="ar"/>
                    </w:rPr>
                    <w:t>137.04</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200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default" w:ascii="Times New Roman" w:hAnsi="Times New Roman" w:eastAsia="宋体" w:cs="Times New Roman"/>
                      <w:b w:val="0"/>
                      <w:bCs w:val="0"/>
                      <w:color w:val="auto"/>
                      <w:spacing w:val="0"/>
                      <w:sz w:val="21"/>
                      <w:szCs w:val="21"/>
                      <w:vertAlign w:val="baseline"/>
                      <w:lang w:val="en-US" w:eastAsia="zh-CN"/>
                    </w:rPr>
                    <w:t>二氧化硫</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ascii="Times New Roman" w:hAnsi="Times New Roman" w:eastAsia="宋体" w:cs="Times New Roman"/>
                      <w:i w:val="0"/>
                      <w:iCs w:val="0"/>
                      <w:color w:val="auto"/>
                      <w:kern w:val="0"/>
                      <w:sz w:val="21"/>
                      <w:szCs w:val="21"/>
                      <w:u w:val="none"/>
                      <w:lang w:val="en-US" w:eastAsia="zh-CN" w:bidi="ar"/>
                    </w:rPr>
                    <w:t>84.588</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850</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烟气黑度</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&lt;1级</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sz w:val="21"/>
                      <w:szCs w:val="21"/>
                      <w:vertAlign w:val="baseline"/>
                      <w:lang w:val="en-US" w:eastAsia="zh-CN"/>
                    </w:rPr>
                    <w:t>&lt;1级</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5" w:hRule="atLeast"/>
              </w:trPr>
              <w:tc>
                <w:tcPr>
                  <w:tcW w:w="1525" w:type="dxa"/>
                  <w:vMerge w:val="continue"/>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p>
              </w:tc>
              <w:tc>
                <w:tcPr>
                  <w:tcW w:w="16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氮氧化物</w:t>
                  </w:r>
                </w:p>
              </w:tc>
              <w:tc>
                <w:tcPr>
                  <w:tcW w:w="1703"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sz w:val="21"/>
                      <w:szCs w:val="21"/>
                      <w:vertAlign w:val="baseline"/>
                      <w:lang w:val="en-US" w:eastAsia="zh-CN"/>
                    </w:rPr>
                  </w:pPr>
                  <w:r>
                    <w:rPr>
                      <w:rFonts w:hint="eastAsia" w:cs="Times New Roman"/>
                      <w:b w:val="0"/>
                      <w:bCs w:val="0"/>
                      <w:color w:val="auto"/>
                      <w:spacing w:val="0"/>
                      <w:sz w:val="21"/>
                      <w:szCs w:val="21"/>
                      <w:vertAlign w:val="baseline"/>
                      <w:lang w:val="en-US" w:eastAsia="zh-CN"/>
                    </w:rPr>
                    <w:t>126</w:t>
                  </w:r>
                </w:p>
              </w:tc>
              <w:tc>
                <w:tcPr>
                  <w:tcW w:w="3057"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eastAsia" w:cs="Times New Roman"/>
                      <w:b w:val="0"/>
                      <w:bCs w:val="0"/>
                      <w:color w:val="auto"/>
                      <w:spacing w:val="0"/>
                      <w:kern w:val="2"/>
                      <w:sz w:val="21"/>
                      <w:szCs w:val="21"/>
                      <w:vertAlign w:val="baseline"/>
                      <w:lang w:val="en-US" w:eastAsia="zh-CN" w:bidi="ar-SA"/>
                    </w:rPr>
                    <w:t>/</w:t>
                  </w:r>
                </w:p>
              </w:tc>
              <w:tc>
                <w:tcPr>
                  <w:tcW w:w="721" w:type="dxa"/>
                  <w:tcBorders>
                    <w:tl2br w:val="nil"/>
                    <w:tr2bl w:val="nil"/>
                  </w:tcBorders>
                  <w:noWrap w:val="0"/>
                  <w:vAlign w:val="center"/>
                </w:tcPr>
                <w:p>
                  <w:pPr>
                    <w:pStyle w:val="70"/>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color w:val="auto"/>
                      <w:spacing w:val="0"/>
                      <w:kern w:val="2"/>
                      <w:sz w:val="21"/>
                      <w:szCs w:val="21"/>
                      <w:vertAlign w:val="baseline"/>
                      <w:lang w:val="en-US" w:eastAsia="zh-CN" w:bidi="ar-SA"/>
                    </w:rPr>
                  </w:pPr>
                  <w:r>
                    <w:rPr>
                      <w:rFonts w:hint="default" w:ascii="Times New Roman" w:hAnsi="Times New Roman" w:eastAsia="宋体" w:cs="Times New Roman"/>
                      <w:b w:val="0"/>
                      <w:bCs w:val="0"/>
                      <w:color w:val="auto"/>
                      <w:spacing w:val="0"/>
                      <w:kern w:val="2"/>
                      <w:sz w:val="21"/>
                      <w:szCs w:val="21"/>
                      <w:vertAlign w:val="baseline"/>
                      <w:lang w:val="en-US" w:eastAsia="zh-CN" w:bidi="ar-SA"/>
                    </w:rPr>
                    <w:t>是</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本项目采取相应</w:t>
            </w:r>
            <w:r>
              <w:rPr>
                <w:rFonts w:hint="default" w:ascii="Times New Roman" w:hAnsi="Times New Roman" w:cs="Times New Roman"/>
                <w:color w:val="auto"/>
                <w:sz w:val="24"/>
                <w:szCs w:val="24"/>
                <w:lang w:val="en-US" w:eastAsia="zh-CN"/>
              </w:rPr>
              <w:t>大气污染防治措施后，可有效降低颗粒物无组织排放量，厂界</w:t>
            </w:r>
            <w:r>
              <w:rPr>
                <w:rFonts w:hint="default" w:ascii="Times New Roman" w:hAnsi="Times New Roman" w:cs="Times New Roman"/>
                <w:color w:val="auto"/>
                <w:kern w:val="0"/>
                <w:sz w:val="24"/>
                <w:szCs w:val="24"/>
                <w:lang w:val="en-US" w:eastAsia="zh-CN"/>
              </w:rPr>
              <w:t>颗粒物无组织排放浓度能够满足</w:t>
            </w:r>
            <w:r>
              <w:rPr>
                <w:rFonts w:hint="default" w:ascii="Times New Roman" w:hAnsi="Times New Roman" w:cs="Times New Roman"/>
                <w:color w:val="auto"/>
                <w:kern w:val="0"/>
                <w:sz w:val="24"/>
                <w:szCs w:val="24"/>
                <w:vertAlign w:val="baseline"/>
                <w:lang w:val="en-US" w:eastAsia="zh-CN"/>
              </w:rPr>
              <w:t>《大气污染物综合排放标准》（GB16297-1996）表2中颗粒物无组织排放监测浓度限值要求。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lang w:val="en-US" w:eastAsia="zh-CN"/>
              </w:rPr>
              <w:t>本项目热风炉</w:t>
            </w:r>
            <w:r>
              <w:rPr>
                <w:rFonts w:hint="eastAsia" w:cs="Times New Roman"/>
                <w:color w:val="auto"/>
                <w:sz w:val="24"/>
                <w:szCs w:val="24"/>
                <w:highlight w:val="none"/>
                <w:lang w:val="en-US" w:eastAsia="zh-CN"/>
              </w:rPr>
              <w:t>采用低氮燃烧技术，</w:t>
            </w:r>
            <w:r>
              <w:rPr>
                <w:rFonts w:hint="default" w:ascii="Times New Roman" w:hAnsi="Times New Roman" w:eastAsia="宋体" w:cs="Times New Roman"/>
                <w:bCs/>
                <w:color w:val="auto"/>
                <w:spacing w:val="-10"/>
                <w:sz w:val="24"/>
                <w:szCs w:val="24"/>
                <w:lang w:val="en-US" w:eastAsia="zh-CN"/>
              </w:rPr>
              <w:t>烟气经布袋除尘器处理后由15m高烟囱排放，颗粒物排放浓度、</w:t>
            </w:r>
            <w:r>
              <w:rPr>
                <w:rFonts w:hint="default" w:ascii="Times New Roman" w:hAnsi="Times New Roman" w:eastAsia="宋体" w:cs="Times New Roman"/>
                <w:color w:val="auto"/>
                <w:sz w:val="24"/>
                <w:szCs w:val="24"/>
                <w:lang w:val="en-US" w:eastAsia="zh-CN"/>
              </w:rPr>
              <w:t>烟气黑度、</w:t>
            </w:r>
            <w:r>
              <w:rPr>
                <w:rFonts w:hint="default" w:ascii="Times New Roman" w:hAnsi="Times New Roman" w:eastAsia="宋体" w:cs="Times New Roman"/>
                <w:bCs/>
                <w:color w:val="auto"/>
                <w:spacing w:val="-10"/>
                <w:sz w:val="24"/>
                <w:szCs w:val="24"/>
                <w:lang w:val="en-US" w:eastAsia="zh-CN"/>
              </w:rPr>
              <w:t>二氧化硫排放浓度可满足《工业炉窑大气污染物排放标准》（GB9078-1996）表2、表4中标准要求。</w:t>
            </w:r>
            <w:r>
              <w:rPr>
                <w:rFonts w:hint="eastAsia" w:cs="Times New Roman"/>
                <w:color w:val="auto"/>
                <w:sz w:val="24"/>
                <w:szCs w:val="24"/>
                <w:lang w:val="en-US" w:eastAsia="zh-CN"/>
              </w:rPr>
              <w:t>热风炉烟气中的氮氧化物有组织排放执行</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w:t>
            </w:r>
            <w:r>
              <w:rPr>
                <w:rFonts w:hint="default" w:ascii="Times New Roman" w:hAnsi="Times New Roman" w:eastAsia="宋体" w:cs="Times New Roman"/>
                <w:bCs/>
                <w:color w:val="auto"/>
                <w:spacing w:val="-10"/>
                <w:sz w:val="24"/>
                <w:szCs w:val="24"/>
                <w:lang w:val="en-US" w:eastAsia="zh-CN"/>
              </w:rPr>
              <w:t>《工业炉窑大气污染物排放标准》（GB9078-1996）</w:t>
            </w:r>
            <w:r>
              <w:rPr>
                <w:rFonts w:hint="eastAsia" w:cs="Times New Roman"/>
                <w:bCs/>
                <w:color w:val="auto"/>
                <w:spacing w:val="-10"/>
                <w:sz w:val="24"/>
                <w:szCs w:val="24"/>
                <w:lang w:val="en-US" w:eastAsia="zh-CN"/>
              </w:rPr>
              <w:t>中无氮氧化物浓度限值</w:t>
            </w:r>
            <w:r>
              <w:rPr>
                <w:rFonts w:hint="eastAsia" w:ascii="Times New Roman" w:hAnsi="Times New Roman" w:eastAsia="宋体" w:cs="Times New Roman"/>
                <w:color w:val="auto"/>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综上所述，本项目有组织及无组织形式排放的</w:t>
            </w:r>
            <w:r>
              <w:rPr>
                <w:rFonts w:hint="eastAsia" w:cs="Times New Roman"/>
                <w:bCs/>
                <w:color w:val="auto"/>
                <w:spacing w:val="-10"/>
                <w:sz w:val="24"/>
                <w:szCs w:val="24"/>
                <w:lang w:val="en-US" w:eastAsia="zh-CN"/>
              </w:rPr>
              <w:t>废气</w:t>
            </w:r>
            <w:r>
              <w:rPr>
                <w:rFonts w:hint="default" w:ascii="Times New Roman" w:hAnsi="Times New Roman" w:eastAsia="宋体" w:cs="Times New Roman"/>
                <w:bCs/>
                <w:color w:val="auto"/>
                <w:spacing w:val="-10"/>
                <w:sz w:val="24"/>
                <w:szCs w:val="24"/>
                <w:lang w:val="en-US" w:eastAsia="zh-CN"/>
              </w:rPr>
              <w:t>均可达标排放，且排放量较小，不会</w:t>
            </w:r>
            <w:r>
              <w:rPr>
                <w:rFonts w:hint="eastAsia" w:cs="Times New Roman"/>
                <w:bCs/>
                <w:color w:val="auto"/>
                <w:spacing w:val="-10"/>
                <w:sz w:val="24"/>
                <w:szCs w:val="24"/>
                <w:lang w:val="en-US" w:eastAsia="zh-CN"/>
              </w:rPr>
              <w:t>对</w:t>
            </w:r>
            <w:r>
              <w:rPr>
                <w:rFonts w:hint="default" w:ascii="Times New Roman" w:hAnsi="Times New Roman" w:eastAsia="宋体" w:cs="Times New Roman"/>
                <w:bCs/>
                <w:color w:val="auto"/>
                <w:spacing w:val="-10"/>
                <w:sz w:val="24"/>
                <w:szCs w:val="24"/>
                <w:lang w:val="en-US" w:eastAsia="zh-CN"/>
              </w:rPr>
              <w:t>区域环境空气质量</w:t>
            </w:r>
            <w:r>
              <w:rPr>
                <w:rFonts w:hint="eastAsia" w:cs="Times New Roman"/>
                <w:bCs/>
                <w:color w:val="auto"/>
                <w:spacing w:val="-10"/>
                <w:sz w:val="24"/>
                <w:szCs w:val="24"/>
                <w:lang w:val="en-US" w:eastAsia="zh-CN"/>
              </w:rPr>
              <w:t>造成较大影响，</w:t>
            </w:r>
            <w:r>
              <w:rPr>
                <w:rFonts w:hint="default" w:ascii="Times New Roman" w:hAnsi="Times New Roman" w:eastAsia="宋体" w:cs="Times New Roman"/>
                <w:bCs/>
                <w:color w:val="auto"/>
                <w:spacing w:val="-10"/>
                <w:sz w:val="24"/>
                <w:szCs w:val="24"/>
                <w:lang w:val="en-US" w:eastAsia="zh-CN"/>
              </w:rPr>
              <w:t>可被大气环境所接受。</w:t>
            </w:r>
          </w:p>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2、废水</w:t>
            </w:r>
          </w:p>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color w:val="auto"/>
                <w:kern w:val="0"/>
                <w:sz w:val="24"/>
                <w:szCs w:val="24"/>
                <w:lang w:val="en-US" w:eastAsia="zh-CN"/>
              </w:rPr>
            </w:pPr>
            <w:r>
              <w:rPr>
                <w:rFonts w:hint="default" w:ascii="Times New Roman" w:hAnsi="Times New Roman" w:eastAsia="宋体" w:cs="Times New Roman"/>
                <w:color w:val="auto"/>
                <w:kern w:val="0"/>
                <w:sz w:val="24"/>
                <w:szCs w:val="24"/>
                <w:lang w:val="en-US" w:eastAsia="zh-CN"/>
              </w:rPr>
              <w:t>本项目无</w:t>
            </w:r>
            <w:r>
              <w:rPr>
                <w:rFonts w:hint="eastAsia" w:cs="Times New Roman"/>
                <w:color w:val="auto"/>
                <w:kern w:val="0"/>
                <w:sz w:val="24"/>
                <w:szCs w:val="24"/>
                <w:lang w:val="en-US" w:eastAsia="zh-CN"/>
              </w:rPr>
              <w:t>新增</w:t>
            </w:r>
            <w:r>
              <w:rPr>
                <w:rFonts w:hint="default" w:ascii="Times New Roman" w:hAnsi="Times New Roman" w:eastAsia="宋体" w:cs="Times New Roman"/>
                <w:color w:val="auto"/>
                <w:kern w:val="0"/>
                <w:sz w:val="24"/>
                <w:szCs w:val="24"/>
                <w:lang w:val="en-US" w:eastAsia="zh-CN"/>
              </w:rPr>
              <w:t>废水排放</w:t>
            </w:r>
            <w:r>
              <w:rPr>
                <w:rFonts w:hint="eastAsia" w:ascii="Times New Roman" w:hAnsi="Times New Roman" w:eastAsia="宋体" w:cs="Times New Roman"/>
                <w:color w:val="auto"/>
                <w:kern w:val="0"/>
                <w:sz w:val="24"/>
                <w:szCs w:val="24"/>
                <w:lang w:val="en-US" w:eastAsia="zh-CN"/>
              </w:rPr>
              <w:t>，对外环境影响较小</w:t>
            </w:r>
            <w:r>
              <w:rPr>
                <w:rFonts w:hint="default" w:ascii="Times New Roman" w:hAnsi="Times New Roman" w:eastAsia="宋体" w:cs="Times New Roman"/>
                <w:color w:val="auto"/>
                <w:kern w:val="0"/>
                <w:sz w:val="24"/>
                <w:szCs w:val="24"/>
                <w:lang w:val="en-US"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3、噪声</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（1）源强分析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cs="Times New Roman"/>
                <w:color w:val="auto"/>
                <w:lang w:val="en-US" w:eastAsia="zh-CN"/>
              </w:rPr>
            </w:pPr>
            <w:r>
              <w:rPr>
                <w:rFonts w:hint="default" w:ascii="Times New Roman" w:hAnsi="Times New Roman" w:eastAsia="宋体" w:cs="Times New Roman"/>
                <w:bCs/>
                <w:color w:val="auto"/>
                <w:spacing w:val="-10"/>
                <w:sz w:val="24"/>
                <w:szCs w:val="24"/>
                <w:lang w:val="en-US" w:eastAsia="zh-CN"/>
              </w:rPr>
              <w:t>本项目噪声主要来源于</w:t>
            </w:r>
            <w:r>
              <w:rPr>
                <w:rFonts w:hint="default" w:ascii="Times New Roman" w:hAnsi="Times New Roman" w:cs="Times New Roman"/>
                <w:color w:val="auto"/>
                <w:sz w:val="24"/>
                <w:szCs w:val="24"/>
                <w:lang w:val="en-US" w:eastAsia="zh-CN"/>
              </w:rPr>
              <w:t>清粮筛分机、输送机、风机、烘干塔等设备，具体噪声源强详见下表。</w:t>
            </w:r>
          </w:p>
          <w:p>
            <w:pPr>
              <w:pStyle w:val="80"/>
              <w:adjustRightInd/>
              <w:snapToGrid/>
              <w:spacing w:line="240" w:lineRule="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表4-7噪声源排放特征及噪声值情况表（室内声源）</w:t>
            </w:r>
          </w:p>
          <w:tbl>
            <w:tblPr>
              <w:tblStyle w:val="30"/>
              <w:tblW w:w="8652"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28"/>
              <w:gridCol w:w="431"/>
              <w:gridCol w:w="431"/>
              <w:gridCol w:w="822"/>
              <w:gridCol w:w="644"/>
              <w:gridCol w:w="431"/>
              <w:gridCol w:w="475"/>
              <w:gridCol w:w="247"/>
              <w:gridCol w:w="699"/>
              <w:gridCol w:w="822"/>
              <w:gridCol w:w="468"/>
              <w:gridCol w:w="822"/>
              <w:gridCol w:w="822"/>
              <w:gridCol w:w="431"/>
              <w:gridCol w:w="679"/>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序号</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建筑物名称</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声源名称</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声源源强/dB(A)</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降噪措施</w:t>
                  </w:r>
                </w:p>
              </w:tc>
              <w:tc>
                <w:tcPr>
                  <w:tcW w:w="1153" w:type="dxa"/>
                  <w:gridSpan w:val="3"/>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空间相对位置/m</w:t>
                  </w:r>
                </w:p>
              </w:tc>
              <w:tc>
                <w:tcPr>
                  <w:tcW w:w="69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距室内边界距离/m</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室内边界声级/dB(A)</w:t>
                  </w:r>
                </w:p>
              </w:tc>
              <w:tc>
                <w:tcPr>
                  <w:tcW w:w="468"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运行时段</w:t>
                  </w:r>
                </w:p>
              </w:tc>
              <w:tc>
                <w:tcPr>
                  <w:tcW w:w="822"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建筑物插入损失/dB(A)</w:t>
                  </w:r>
                </w:p>
              </w:tc>
              <w:tc>
                <w:tcPr>
                  <w:tcW w:w="1253" w:type="dxa"/>
                  <w:gridSpan w:val="2"/>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建筑物外噪声</w:t>
                  </w:r>
                </w:p>
              </w:tc>
              <w:tc>
                <w:tcPr>
                  <w:tcW w:w="679"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持续时间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X</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Y</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Z</w:t>
                  </w:r>
                </w:p>
              </w:tc>
              <w:tc>
                <w:tcPr>
                  <w:tcW w:w="69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68"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声压级/dB(A)</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rPr>
                  </w:pPr>
                  <w:r>
                    <w:rPr>
                      <w:rFonts w:hint="default" w:ascii="Times New Roman" w:hAnsi="Times New Roman" w:eastAsia="宋体" w:cs="Times New Roman"/>
                      <w:color w:val="auto"/>
                      <w:szCs w:val="21"/>
                      <w:highlight w:val="none"/>
                    </w:rPr>
                    <w:t>建筑物外距离</w:t>
                  </w:r>
                </w:p>
              </w:tc>
              <w:tc>
                <w:tcPr>
                  <w:tcW w:w="679"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431"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热风炉房</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风机</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644" w:type="dxa"/>
                  <w:vMerge w:val="restart"/>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厂房隔声、减震</w:t>
                  </w: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80</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-70</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61.42</w:t>
                  </w:r>
                </w:p>
              </w:tc>
              <w:tc>
                <w:tcPr>
                  <w:tcW w:w="46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35.42</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jc w:val="center"/>
              </w:trPr>
              <w:tc>
                <w:tcPr>
                  <w:tcW w:w="428"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2</w:t>
                  </w:r>
                </w:p>
              </w:tc>
              <w:tc>
                <w:tcPr>
                  <w:tcW w:w="431" w:type="dxa"/>
                  <w:vMerge w:val="continue"/>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热风炉</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75</w:t>
                  </w:r>
                </w:p>
              </w:tc>
              <w:tc>
                <w:tcPr>
                  <w:tcW w:w="644" w:type="dxa"/>
                  <w:vMerge w:val="continue"/>
                  <w:noWrap w:val="0"/>
                  <w:vAlign w:val="center"/>
                </w:tcPr>
                <w:p>
                  <w:pPr>
                    <w:spacing w:line="0" w:lineRule="atLeast"/>
                    <w:jc w:val="center"/>
                    <w:rPr>
                      <w:rFonts w:hint="default" w:ascii="Times New Roman" w:hAnsi="Times New Roman" w:eastAsia="宋体" w:cs="Times New Roman"/>
                      <w:color w:val="auto"/>
                      <w:szCs w:val="21"/>
                      <w:highlight w:val="none"/>
                    </w:rPr>
                  </w:pPr>
                </w:p>
              </w:tc>
              <w:tc>
                <w:tcPr>
                  <w:tcW w:w="43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85</w:t>
                  </w:r>
                </w:p>
              </w:tc>
              <w:tc>
                <w:tcPr>
                  <w:tcW w:w="475"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-72</w:t>
                  </w:r>
                </w:p>
              </w:tc>
              <w:tc>
                <w:tcPr>
                  <w:tcW w:w="247"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1.5</w:t>
                  </w:r>
                </w:p>
              </w:tc>
              <w:tc>
                <w:tcPr>
                  <w:tcW w:w="69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5.2</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67.75</w:t>
                  </w:r>
                </w:p>
              </w:tc>
              <w:tc>
                <w:tcPr>
                  <w:tcW w:w="468"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Cs w:val="21"/>
                      <w:highlight w:val="none"/>
                      <w:lang w:val="en-US" w:eastAsia="zh-CN"/>
                    </w:rPr>
                    <w:t>24小时运行</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26</w:t>
                  </w:r>
                </w:p>
              </w:tc>
              <w:tc>
                <w:tcPr>
                  <w:tcW w:w="82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41.75</w:t>
                  </w:r>
                </w:p>
              </w:tc>
              <w:tc>
                <w:tcPr>
                  <w:tcW w:w="43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1</w:t>
                  </w:r>
                </w:p>
              </w:tc>
              <w:tc>
                <w:tcPr>
                  <w:tcW w:w="67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720</w:t>
                  </w:r>
                </w:p>
              </w:tc>
            </w:tr>
          </w:tbl>
          <w:p>
            <w:pPr>
              <w:pStyle w:val="80"/>
              <w:adjustRightInd/>
              <w:snapToGrid/>
              <w:spacing w:line="240" w:lineRule="auto"/>
              <w:rPr>
                <w:rFonts w:hint="eastAsia"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表4-</w:t>
            </w:r>
            <w:r>
              <w:rPr>
                <w:rFonts w:hint="eastAsia" w:ascii="Times New Roman" w:hAnsi="Times New Roman" w:eastAsia="宋体" w:cs="Times New Roman"/>
                <w:b/>
                <w:bCs/>
                <w:color w:val="auto"/>
                <w:sz w:val="21"/>
                <w:szCs w:val="21"/>
                <w:lang w:val="en-US" w:eastAsia="zh-CN"/>
              </w:rPr>
              <w:t>8</w:t>
            </w:r>
            <w:r>
              <w:rPr>
                <w:rFonts w:hint="default" w:ascii="Times New Roman" w:hAnsi="Times New Roman" w:eastAsia="宋体" w:cs="Times New Roman"/>
                <w:b/>
                <w:bCs/>
                <w:color w:val="auto"/>
                <w:sz w:val="21"/>
                <w:szCs w:val="21"/>
                <w:lang w:val="en-US" w:eastAsia="zh-CN"/>
              </w:rPr>
              <w:t>噪声源排放特征及噪声值情况表</w:t>
            </w:r>
            <w:r>
              <w:rPr>
                <w:rFonts w:hint="eastAsia" w:ascii="Times New Roman" w:hAnsi="Times New Roman" w:eastAsia="宋体" w:cs="Times New Roman"/>
                <w:b/>
                <w:bCs/>
                <w:color w:val="auto"/>
                <w:sz w:val="21"/>
                <w:szCs w:val="21"/>
                <w:lang w:val="en-US" w:eastAsia="zh-CN"/>
              </w:rPr>
              <w:t>（室外声源）</w:t>
            </w:r>
          </w:p>
          <w:tbl>
            <w:tblPr>
              <w:tblStyle w:val="110"/>
              <w:tblpPr w:leftFromText="180" w:rightFromText="180" w:vertAnchor="text" w:horzAnchor="page" w:tblpX="477" w:tblpY="299"/>
              <w:tblOverlap w:val="never"/>
              <w:tblW w:w="8047"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447"/>
              <w:gridCol w:w="1529"/>
              <w:gridCol w:w="531"/>
              <w:gridCol w:w="427"/>
              <w:gridCol w:w="479"/>
              <w:gridCol w:w="1129"/>
              <w:gridCol w:w="1571"/>
              <w:gridCol w:w="962"/>
              <w:gridCol w:w="972"/>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en-US" w:bidi="ar-SA"/>
                    </w:rPr>
                  </w:pPr>
                  <w:r>
                    <w:rPr>
                      <w:rFonts w:hint="default" w:ascii="Times New Roman" w:hAnsi="Times New Roman" w:eastAsia="宋体" w:cs="Times New Roman"/>
                      <w:b/>
                      <w:color w:val="auto"/>
                      <w:kern w:val="0"/>
                      <w:sz w:val="21"/>
                      <w:szCs w:val="21"/>
                      <w:highlight w:val="none"/>
                      <w:lang w:val="en-US" w:eastAsia="en-US" w:bidi="ar-SA"/>
                    </w:rPr>
                    <w:t>序号</w:t>
                  </w:r>
                </w:p>
              </w:tc>
              <w:tc>
                <w:tcPr>
                  <w:tcW w:w="1529" w:type="dxa"/>
                  <w:vMerge w:val="restart"/>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声源名称</w:t>
                  </w:r>
                </w:p>
              </w:tc>
              <w:tc>
                <w:tcPr>
                  <w:tcW w:w="1437"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空间相对位置/m</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声源源强/dB（A）</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声源控制措施</w:t>
                  </w:r>
                </w:p>
              </w:tc>
              <w:tc>
                <w:tcPr>
                  <w:tcW w:w="96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eastAsia" w:cs="Times New Roman"/>
                      <w:b/>
                      <w:color w:val="auto"/>
                      <w:kern w:val="0"/>
                      <w:sz w:val="21"/>
                      <w:szCs w:val="21"/>
                      <w:highlight w:val="none"/>
                      <w:lang w:val="en-US" w:eastAsia="zh-CN" w:bidi="ar-SA"/>
                    </w:rPr>
                    <w:t>降噪后源强dB（A）</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color w:val="auto"/>
                      <w:kern w:val="0"/>
                      <w:sz w:val="21"/>
                      <w:szCs w:val="21"/>
                      <w:highlight w:val="none"/>
                      <w:lang w:val="en-US" w:eastAsia="zh-CN" w:bidi="ar-SA"/>
                    </w:rPr>
                  </w:pPr>
                  <w:r>
                    <w:rPr>
                      <w:rFonts w:hint="default" w:ascii="Times New Roman" w:hAnsi="Times New Roman" w:eastAsia="宋体" w:cs="Times New Roman"/>
                      <w:b/>
                      <w:color w:val="auto"/>
                      <w:kern w:val="0"/>
                      <w:sz w:val="21"/>
                      <w:szCs w:val="21"/>
                      <w:highlight w:val="none"/>
                      <w:lang w:val="en-US" w:eastAsia="zh-CN" w:bidi="ar-SA"/>
                    </w:rPr>
                    <w:t>运行时段</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1529" w:type="dxa"/>
                  <w:vMerge w:val="continue"/>
                  <w:tcBorders>
                    <w:lef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X</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Y</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Z</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b/>
                      <w:bCs w:val="0"/>
                      <w:color w:val="auto"/>
                      <w:kern w:val="0"/>
                      <w:sz w:val="21"/>
                      <w:szCs w:val="21"/>
                      <w:highlight w:val="none"/>
                      <w:lang w:val="en-US" w:eastAsia="zh-CN" w:bidi="ar-SA"/>
                    </w:rPr>
                  </w:pPr>
                  <w:r>
                    <w:rPr>
                      <w:rFonts w:hint="default" w:ascii="Times New Roman" w:hAnsi="Times New Roman" w:eastAsia="宋体" w:cs="Times New Roman"/>
                      <w:b/>
                      <w:bCs w:val="0"/>
                      <w:color w:val="auto"/>
                      <w:kern w:val="0"/>
                      <w:sz w:val="21"/>
                      <w:szCs w:val="21"/>
                      <w:highlight w:val="none"/>
                      <w:lang w:val="en-US" w:eastAsia="zh-CN" w:bidi="ar-SA"/>
                    </w:rPr>
                    <w:t>声</w:t>
                  </w:r>
                  <w:r>
                    <w:rPr>
                      <w:rFonts w:hint="eastAsia" w:cs="Times New Roman"/>
                      <w:b/>
                      <w:bCs w:val="0"/>
                      <w:color w:val="auto"/>
                      <w:kern w:val="0"/>
                      <w:sz w:val="21"/>
                      <w:szCs w:val="21"/>
                      <w:highlight w:val="none"/>
                      <w:lang w:val="en-US" w:eastAsia="zh-CN" w:bidi="ar-SA"/>
                    </w:rPr>
                    <w:t>压</w:t>
                  </w:r>
                  <w:r>
                    <w:rPr>
                      <w:rFonts w:hint="default" w:ascii="Times New Roman" w:hAnsi="Times New Roman" w:eastAsia="宋体" w:cs="Times New Roman"/>
                      <w:b/>
                      <w:bCs w:val="0"/>
                      <w:color w:val="auto"/>
                      <w:kern w:val="0"/>
                      <w:sz w:val="21"/>
                      <w:szCs w:val="21"/>
                      <w:highlight w:val="none"/>
                      <w:lang w:val="en-US" w:eastAsia="zh-CN" w:bidi="ar-SA"/>
                    </w:rPr>
                    <w:t>级</w:t>
                  </w:r>
                  <w:r>
                    <w:rPr>
                      <w:rFonts w:hint="eastAsia" w:cs="Times New Roman"/>
                      <w:b/>
                      <w:bCs w:val="0"/>
                      <w:color w:val="auto"/>
                      <w:kern w:val="0"/>
                      <w:sz w:val="21"/>
                      <w:szCs w:val="21"/>
                      <w:highlight w:val="none"/>
                      <w:lang w:val="en-US" w:eastAsia="zh-CN" w:bidi="ar-SA"/>
                    </w:rPr>
                    <w:t>/距声源距离5m</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6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1</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cs="Times New Roman"/>
                      <w:color w:val="auto"/>
                      <w:szCs w:val="21"/>
                    </w:rPr>
                    <w:t>清</w:t>
                  </w:r>
                  <w:r>
                    <w:rPr>
                      <w:rFonts w:hint="default" w:ascii="Times New Roman" w:hAnsi="Times New Roman" w:cs="Times New Roman"/>
                      <w:color w:val="auto"/>
                      <w:szCs w:val="21"/>
                      <w:lang w:val="en-US" w:eastAsia="zh-CN"/>
                    </w:rPr>
                    <w:t>粮</w:t>
                  </w:r>
                  <w:r>
                    <w:rPr>
                      <w:rFonts w:hint="default" w:ascii="Times New Roman" w:hAnsi="Times New Roman" w:cs="Times New Roman"/>
                      <w:color w:val="auto"/>
                      <w:szCs w:val="21"/>
                    </w:rPr>
                    <w:t>筛</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80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-90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安装</w:t>
                  </w:r>
                  <w:r>
                    <w:rPr>
                      <w:rFonts w:hint="eastAsia" w:cs="Times New Roman"/>
                      <w:color w:val="auto"/>
                      <w:kern w:val="0"/>
                      <w:sz w:val="21"/>
                      <w:szCs w:val="21"/>
                      <w:highlight w:val="none"/>
                      <w:lang w:val="en-US" w:eastAsia="zh-CN" w:bidi="ar-SA"/>
                    </w:rPr>
                    <w:t>减振</w:t>
                  </w:r>
                  <w:r>
                    <w:rPr>
                      <w:rFonts w:hint="default" w:ascii="Times New Roman" w:hAnsi="Times New Roman" w:eastAsia="宋体" w:cs="Times New Roman"/>
                      <w:color w:val="auto"/>
                      <w:kern w:val="0"/>
                      <w:sz w:val="21"/>
                      <w:szCs w:val="21"/>
                      <w:highlight w:val="none"/>
                      <w:lang w:val="en-US" w:eastAsia="zh-CN" w:bidi="ar-SA"/>
                    </w:rPr>
                    <w:t>基础、选用低噪声设备</w:t>
                  </w: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昼夜运行</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2</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80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-88</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9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3</w:t>
                  </w:r>
                </w:p>
              </w:tc>
              <w:tc>
                <w:tcPr>
                  <w:tcW w:w="1529" w:type="dxa"/>
                  <w:tcBorders>
                    <w:tl2br w:val="nil"/>
                    <w:tr2bl w:val="nil"/>
                  </w:tcBorders>
                  <w:vAlign w:val="center"/>
                </w:tcPr>
                <w:p>
                  <w:pPr>
                    <w:adjustRightInd w:val="0"/>
                    <w:snapToGrid w:val="0"/>
                    <w:jc w:val="center"/>
                    <w:rPr>
                      <w:rFonts w:hint="default" w:ascii="Times New Roman" w:hAnsi="Times New Roman" w:eastAsia="宋体" w:cs="Times New Roman"/>
                      <w:snapToGrid w:val="0"/>
                      <w:color w:val="auto"/>
                      <w:kern w:val="2"/>
                      <w:sz w:val="21"/>
                      <w:szCs w:val="21"/>
                      <w:highlight w:val="none"/>
                      <w:lang w:val="en-US" w:eastAsia="zh-CN" w:bidi="ar-SA"/>
                    </w:rPr>
                  </w:pPr>
                  <w:r>
                    <w:rPr>
                      <w:rFonts w:hint="eastAsia" w:cs="Times New Roman"/>
                      <w:color w:val="auto"/>
                      <w:szCs w:val="21"/>
                      <w:lang w:val="en-US" w:eastAsia="zh-CN"/>
                    </w:rPr>
                    <w:t>提升机</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85</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bidi="ar-SA"/>
                    </w:rPr>
                    <w:t>-88</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70</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50</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Ex>
              <w:trPr>
                <w:trHeight w:val="0" w:hRule="atLeast"/>
              </w:trPr>
              <w:tc>
                <w:tcPr>
                  <w:tcW w:w="447" w:type="dxa"/>
                  <w:tcBorders>
                    <w:tl2br w:val="nil"/>
                    <w:tr2bl w:val="nil"/>
                  </w:tcBorders>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snapToGrid w:val="0"/>
                      <w:color w:val="auto"/>
                      <w:kern w:val="2"/>
                      <w:sz w:val="21"/>
                      <w:szCs w:val="21"/>
                      <w:highlight w:val="none"/>
                      <w:lang w:val="en-US" w:eastAsia="zh-CN" w:bidi="ar-SA"/>
                    </w:rPr>
                    <w:t>4</w:t>
                  </w:r>
                </w:p>
              </w:tc>
              <w:tc>
                <w:tcPr>
                  <w:tcW w:w="1529" w:type="dxa"/>
                  <w:tcBorders>
                    <w:tl2br w:val="nil"/>
                    <w:tr2bl w:val="nil"/>
                  </w:tcBorders>
                  <w:vAlign w:val="center"/>
                </w:tcPr>
                <w:p>
                  <w:pPr>
                    <w:widowControl/>
                    <w:jc w:val="center"/>
                    <w:textAlignment w:val="center"/>
                    <w:rPr>
                      <w:rFonts w:hint="default" w:ascii="Times New Roman" w:hAnsi="Times New Roman" w:eastAsia="宋体" w:cs="Times New Roman"/>
                      <w:snapToGrid w:val="0"/>
                      <w:color w:val="auto"/>
                      <w:kern w:val="2"/>
                      <w:sz w:val="21"/>
                      <w:szCs w:val="21"/>
                      <w:highlight w:val="none"/>
                      <w:lang w:val="en-US" w:eastAsia="zh-CN" w:bidi="ar-SA"/>
                    </w:rPr>
                  </w:pPr>
                  <w:r>
                    <w:rPr>
                      <w:rFonts w:hint="default" w:ascii="Times New Roman" w:hAnsi="Times New Roman" w:eastAsia="宋体" w:cs="Times New Roman"/>
                      <w:color w:val="auto"/>
                      <w:lang w:val="en-US" w:eastAsia="zh-CN"/>
                    </w:rPr>
                    <w:t>烘干塔</w:t>
                  </w:r>
                </w:p>
              </w:tc>
              <w:tc>
                <w:tcPr>
                  <w:tcW w:w="531"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90</w:t>
                  </w:r>
                </w:p>
              </w:tc>
              <w:tc>
                <w:tcPr>
                  <w:tcW w:w="42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olor w:val="auto"/>
                      <w:lang w:val="en-US" w:eastAsia="zh-CN"/>
                    </w:rPr>
                    <w:t>-90</w:t>
                  </w:r>
                </w:p>
              </w:tc>
              <w:tc>
                <w:tcPr>
                  <w:tcW w:w="47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1.5</w:t>
                  </w:r>
                </w:p>
              </w:tc>
              <w:tc>
                <w:tcPr>
                  <w:tcW w:w="1129"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s="Times New Roman"/>
                      <w:color w:val="auto"/>
                      <w:kern w:val="0"/>
                      <w:sz w:val="21"/>
                      <w:szCs w:val="21"/>
                      <w:highlight w:val="none"/>
                      <w:lang w:val="en-US" w:eastAsia="zh-CN"/>
                    </w:rPr>
                    <w:t>75</w:t>
                  </w:r>
                </w:p>
              </w:tc>
              <w:tc>
                <w:tcPr>
                  <w:tcW w:w="1571"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p>
              </w:tc>
              <w:tc>
                <w:tcPr>
                  <w:tcW w:w="962"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55</w:t>
                  </w:r>
                </w:p>
              </w:tc>
              <w:tc>
                <w:tcPr>
                  <w:tcW w:w="972"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after="0"/>
                    <w:ind w:left="0" w:leftChars="0" w:firstLine="0" w:firstLineChars="0"/>
                    <w:contextualSpacing/>
                    <w:jc w:val="center"/>
                    <w:rPr>
                      <w:rFonts w:hint="default" w:ascii="Times New Roman" w:hAnsi="Times New Roman" w:eastAsia="宋体" w:cs="Times New Roman"/>
                      <w:color w:val="auto"/>
                      <w:kern w:val="0"/>
                      <w:sz w:val="21"/>
                      <w:szCs w:val="21"/>
                      <w:highlight w:val="none"/>
                      <w:lang w:val="en-US" w:eastAsia="en-US" w:bidi="ar-SA"/>
                    </w:rPr>
                  </w:pPr>
                </w:p>
              </w:tc>
            </w:tr>
          </w:tbl>
          <w:p>
            <w:pPr>
              <w:keepNext w:val="0"/>
              <w:keepLines w:val="0"/>
              <w:pageBreakBefore w:val="0"/>
              <w:widowControl w:val="0"/>
              <w:kinsoku/>
              <w:wordWrap/>
              <w:overflowPunct/>
              <w:topLinePunct w:val="0"/>
              <w:bidi w:val="0"/>
              <w:spacing w:line="360" w:lineRule="auto"/>
              <w:ind w:left="0" w:firstLine="480"/>
              <w:rPr>
                <w:bCs/>
                <w:color w:val="auto"/>
                <w:sz w:val="24"/>
                <w:szCs w:val="24"/>
                <w:highlight w:val="none"/>
              </w:rPr>
            </w:pPr>
            <w:r>
              <w:rPr>
                <w:bCs/>
                <w:color w:val="auto"/>
                <w:sz w:val="24"/>
                <w:szCs w:val="24"/>
                <w:highlight w:val="none"/>
              </w:rPr>
              <w:t>（</w:t>
            </w:r>
            <w:r>
              <w:rPr>
                <w:rFonts w:hint="eastAsia"/>
                <w:bCs/>
                <w:color w:val="auto"/>
                <w:sz w:val="24"/>
                <w:szCs w:val="24"/>
                <w:highlight w:val="none"/>
              </w:rPr>
              <w:t>2</w:t>
            </w:r>
            <w:r>
              <w:rPr>
                <w:bCs/>
                <w:color w:val="auto"/>
                <w:sz w:val="24"/>
                <w:szCs w:val="24"/>
                <w:highlight w:val="none"/>
              </w:rPr>
              <w:t>）预测模式</w:t>
            </w:r>
          </w:p>
          <w:p>
            <w:pPr>
              <w:spacing w:line="360" w:lineRule="auto"/>
              <w:ind w:firstLine="480" w:firstLineChars="200"/>
              <w:rPr>
                <w:rFonts w:hint="eastAsia" w:cs="Times New Roman"/>
                <w:b w:val="0"/>
                <w:bCs w:val="0"/>
                <w:color w:val="auto"/>
                <w:spacing w:val="0"/>
                <w:position w:val="0"/>
                <w:sz w:val="24"/>
                <w:szCs w:val="24"/>
                <w:lang w:val="en-US" w:eastAsia="zh-CN"/>
              </w:rPr>
            </w:pPr>
            <w:r>
              <w:rPr>
                <w:rFonts w:hint="eastAsia" w:cs="Times New Roman"/>
                <w:b w:val="0"/>
                <w:bCs w:val="0"/>
                <w:color w:val="auto"/>
                <w:spacing w:val="0"/>
                <w:position w:val="0"/>
                <w:sz w:val="24"/>
                <w:szCs w:val="24"/>
                <w:lang w:val="en-US" w:eastAsia="zh-CN"/>
              </w:rPr>
              <w:t>①设靠近开口处（或窗户）室内、室外某倍频带的声压级或A声级分别为Lp1和Lp2。若声源所在室内声场为近似扩散声场，则室外的倍频带声压级可按式近似求出：</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14"/>
                <w:sz w:val="24"/>
                <w:szCs w:val="24"/>
              </w:rPr>
              <w:object>
                <v:shape id="_x0000_i1027" o:spt="75" type="#_x0000_t75" style="height:23.35pt;width:116.7pt;" o:ole="t" filled="f" o:preferrelative="t" stroked="f" coordsize="21600,21600">
                  <v:path/>
                  <v:fill on="f" focussize="0,0"/>
                  <v:stroke on="f"/>
                  <v:imagedata r:id="rId26" o:title=""/>
                  <o:lock v:ext="edit" aspectratio="t"/>
                  <w10:wrap type="none"/>
                  <w10:anchorlock/>
                </v:shape>
                <o:OLEObject Type="Embed" ProgID="Equation.3" ShapeID="_x0000_i1027" DrawAspect="Content" ObjectID="_1468075727" r:id="rId25">
                  <o:LockedField>false</o:LockedField>
                </o:OLEObject>
              </w:objec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式中：Lp1——靠近开口处（或窗户）室内某倍频带的声压级或A声级，dB；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 xml:space="preserve">Lp2——靠近开口处（或窗户）室外某倍频带的声压级或A声级，dB； </w:t>
            </w:r>
          </w:p>
          <w:p>
            <w:pPr>
              <w:spacing w:line="360" w:lineRule="auto"/>
              <w:jc w:val="center"/>
              <w:rPr>
                <w:rFonts w:hint="default" w:ascii="Times New Roman" w:hAnsi="Times New Roman" w:eastAsia="宋体" w:cs="Times New Roman"/>
                <w:b w:val="0"/>
                <w:bCs w:val="0"/>
                <w:color w:val="auto"/>
                <w:spacing w:val="0"/>
                <w:position w:val="0"/>
                <w:sz w:val="24"/>
                <w:szCs w:val="24"/>
                <w:lang w:val="en-US" w:eastAsia="zh-CN"/>
              </w:rPr>
            </w:pPr>
            <w:r>
              <w:rPr>
                <w:rFonts w:hint="default" w:ascii="Times New Roman" w:hAnsi="Times New Roman" w:eastAsia="宋体" w:cs="Times New Roman"/>
                <w:b w:val="0"/>
                <w:bCs w:val="0"/>
                <w:color w:val="auto"/>
                <w:spacing w:val="0"/>
                <w:position w:val="0"/>
                <w:sz w:val="24"/>
                <w:szCs w:val="24"/>
                <w:lang w:val="en-US" w:eastAsia="zh-CN"/>
              </w:rPr>
              <w:t>TL——隔墙（或窗户）倍频带或A声级的隔声量，dB。</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②也可按</w:t>
            </w:r>
            <w:r>
              <w:rPr>
                <w:rFonts w:hint="default" w:ascii="Times New Roman" w:hAnsi="Times New Roman" w:eastAsia="宋体" w:cs="Times New Roman"/>
                <w:b w:val="0"/>
                <w:bCs w:val="0"/>
                <w:color w:val="auto"/>
                <w:spacing w:val="0"/>
                <w:position w:val="0"/>
                <w:sz w:val="24"/>
                <w:szCs w:val="24"/>
              </w:rPr>
              <w:t>某一室内声源靠近围护结构处产生的倍频带声压级</w:t>
            </w:r>
          </w:p>
          <w:p>
            <w:pPr>
              <w:pStyle w:val="105"/>
              <w:adjustRightInd w:val="0"/>
              <w:snapToGrid w:val="0"/>
              <w:spacing w:line="360" w:lineRule="auto"/>
              <w:ind w:left="1320" w:hanging="1320" w:hangingChars="55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28"/>
                <w:sz w:val="24"/>
                <w:szCs w:val="24"/>
              </w:rPr>
              <w:object>
                <v:shape id="_x0000_i1028" o:spt="75" type="#_x0000_t75" style="height:41.6pt;width:163.25pt;" o:ole="t" filled="f" o:preferrelative="t" stroked="f" coordsize="21600,21600">
                  <v:path/>
                  <v:fill on="f" focussize="0,0"/>
                  <v:stroke on="f"/>
                  <v:imagedata r:id="rId28" o:title=""/>
                  <o:lock v:ext="edit" aspectratio="t"/>
                  <w10:wrap type="none"/>
                  <w10:anchorlock/>
                </v:shape>
                <o:OLEObject Type="Embed" ProgID="Equation.3" ShapeID="_x0000_i1028" DrawAspect="Content" ObjectID="_1468075728" r:id="rId27">
                  <o:LockedField>false</o:LockedField>
                </o:OLEObject>
              </w:objec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式中：L</w:t>
            </w:r>
            <w:r>
              <w:rPr>
                <w:rFonts w:hint="default" w:ascii="Times New Roman" w:hAnsi="Times New Roman" w:eastAsia="宋体" w:cs="Times New Roman"/>
                <w:b w:val="0"/>
                <w:bCs w:val="0"/>
                <w:color w:val="auto"/>
                <w:spacing w:val="0"/>
                <w:position w:val="0"/>
                <w:sz w:val="24"/>
                <w:szCs w:val="24"/>
                <w:vertAlign w:val="subscript"/>
              </w:rPr>
              <w:t>p1</w:t>
            </w:r>
            <w:r>
              <w:rPr>
                <w:rFonts w:hint="default" w:ascii="Times New Roman" w:hAnsi="Times New Roman" w:eastAsia="宋体" w:cs="Times New Roman"/>
                <w:b w:val="0"/>
                <w:bCs w:val="0"/>
                <w:color w:val="auto"/>
                <w:spacing w:val="0"/>
                <w:position w:val="0"/>
                <w:sz w:val="24"/>
                <w:szCs w:val="24"/>
              </w:rPr>
              <w:t>—靠近开口处（窗户）室内某倍频带的声压级或A声级，dB；</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w</w:t>
            </w:r>
            <w:r>
              <w:rPr>
                <w:rFonts w:hint="default" w:ascii="Times New Roman" w:hAnsi="Times New Roman" w:eastAsia="宋体" w:cs="Times New Roman"/>
                <w:b w:val="0"/>
                <w:bCs w:val="0"/>
                <w:color w:val="auto"/>
                <w:spacing w:val="0"/>
                <w:position w:val="0"/>
                <w:sz w:val="24"/>
                <w:szCs w:val="24"/>
              </w:rPr>
              <w:t>—点声源声功率级（A计权或倍频带），dB；</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 xml:space="preserve">      Q—指向性因数，通常对无指向性声源，当声源放在房间中心时，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=1，当放在一面墙的中心时，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=2；当放在两面墙夹角处时，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=4，当放在三面墙夹角处时，</w:t>
            </w:r>
            <w:r>
              <w:rPr>
                <w:rFonts w:hint="default" w:ascii="Times New Roman" w:hAnsi="Times New Roman" w:eastAsia="宋体" w:cs="Times New Roman"/>
                <w:b w:val="0"/>
                <w:bCs w:val="0"/>
                <w:i/>
                <w:color w:val="auto"/>
                <w:spacing w:val="0"/>
                <w:position w:val="0"/>
                <w:sz w:val="24"/>
                <w:szCs w:val="24"/>
              </w:rPr>
              <w:t>Q</w:t>
            </w:r>
            <w:r>
              <w:rPr>
                <w:rFonts w:hint="default" w:ascii="Times New Roman" w:hAnsi="Times New Roman" w:eastAsia="宋体" w:cs="Times New Roman"/>
                <w:b w:val="0"/>
                <w:bCs w:val="0"/>
                <w:color w:val="auto"/>
                <w:spacing w:val="0"/>
                <w:position w:val="0"/>
                <w:sz w:val="24"/>
                <w:szCs w:val="24"/>
              </w:rPr>
              <w:t>=8；</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—房间常数，</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α/(1−α</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S</w:t>
            </w:r>
            <w:r>
              <w:rPr>
                <w:rFonts w:hint="default" w:ascii="Times New Roman" w:hAnsi="Times New Roman" w:eastAsia="宋体" w:cs="Times New Roman"/>
                <w:b w:val="0"/>
                <w:bCs w:val="0"/>
                <w:color w:val="auto"/>
                <w:spacing w:val="0"/>
                <w:position w:val="0"/>
                <w:sz w:val="24"/>
                <w:szCs w:val="24"/>
              </w:rPr>
              <w:t>为房间内表面面积，m</w:t>
            </w:r>
            <w:r>
              <w:rPr>
                <w:rFonts w:hint="default" w:ascii="Times New Roman" w:hAnsi="Times New Roman" w:eastAsia="宋体" w:cs="Times New Roman"/>
                <w:b w:val="0"/>
                <w:bCs w:val="0"/>
                <w:color w:val="auto"/>
                <w:spacing w:val="0"/>
                <w:position w:val="0"/>
                <w:sz w:val="24"/>
                <w:szCs w:val="24"/>
                <w:vertAlign w:val="superscript"/>
              </w:rPr>
              <w:t>2</w:t>
            </w:r>
            <w:r>
              <w:rPr>
                <w:rFonts w:hint="default" w:ascii="Times New Roman" w:hAnsi="Times New Roman" w:eastAsia="宋体" w:cs="Times New Roman"/>
                <w:b w:val="0"/>
                <w:bCs w:val="0"/>
                <w:color w:val="auto"/>
                <w:spacing w:val="0"/>
                <w:position w:val="0"/>
                <w:sz w:val="24"/>
                <w:szCs w:val="24"/>
              </w:rPr>
              <w:t>，α为平均吸声系数；</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r</w:t>
            </w:r>
            <w:r>
              <w:rPr>
                <w:rFonts w:hint="default" w:ascii="Times New Roman" w:hAnsi="Times New Roman" w:eastAsia="宋体" w:cs="Times New Roman"/>
                <w:b w:val="0"/>
                <w:bCs w:val="0"/>
                <w:color w:val="auto"/>
                <w:spacing w:val="0"/>
                <w:position w:val="0"/>
                <w:sz w:val="24"/>
                <w:szCs w:val="24"/>
              </w:rPr>
              <w:t>—声源到靠近围护结构某点处的距离，m。</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③</w:t>
            </w:r>
            <w:r>
              <w:rPr>
                <w:rFonts w:hint="default" w:ascii="Times New Roman" w:hAnsi="Times New Roman" w:eastAsia="宋体" w:cs="Times New Roman"/>
                <w:b w:val="0"/>
                <w:bCs w:val="0"/>
                <w:color w:val="auto"/>
                <w:spacing w:val="0"/>
                <w:position w:val="0"/>
                <w:sz w:val="24"/>
                <w:szCs w:val="24"/>
              </w:rPr>
              <w:t>所有室内声源在围护结构处产生的</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倍频带叠加声压级：</w:t>
            </w:r>
          </w:p>
          <w:p>
            <w:pPr>
              <w:pStyle w:val="105"/>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29" o:spt="75" type="#_x0000_t75" style="height:42.7pt;width:143.35pt;" o:ole="t" filled="f" o:preferrelative="t" stroked="f" coordsize="21600,21600">
                  <v:path/>
                  <v:fill on="f" focussize="0,0"/>
                  <v:stroke on="f" joinstyle="miter"/>
                  <v:imagedata r:id="rId30" o:title=""/>
                  <o:lock v:ext="edit" aspectratio="t"/>
                  <w10:wrap type="none"/>
                  <w10:anchorlock/>
                </v:shape>
                <o:OLEObject Type="Embed" ProgID="Equation.3" ShapeID="_x0000_i1029" DrawAspect="Content" ObjectID="_1468075729" r:id="rId29">
                  <o:LockedField>false</o:LockedField>
                </o:OLEObject>
              </w:objec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p1i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T</w:t>
            </w:r>
            <w:r>
              <w:rPr>
                <w:rFonts w:hint="default" w:ascii="Times New Roman" w:hAnsi="Times New Roman" w:eastAsia="宋体" w:cs="Times New Roman"/>
                <w:b w:val="0"/>
                <w:bCs w:val="0"/>
                <w:color w:val="auto"/>
                <w:spacing w:val="0"/>
                <w:position w:val="0"/>
                <w:sz w:val="24"/>
                <w:szCs w:val="24"/>
              </w:rPr>
              <w:t>)—靠近围护结构处室内</w:t>
            </w:r>
            <w:r>
              <w:rPr>
                <w:rFonts w:hint="default" w:ascii="Times New Roman" w:hAnsi="Times New Roman" w:eastAsia="宋体" w:cs="Times New Roman"/>
                <w:b w:val="0"/>
                <w:bCs w:val="0"/>
                <w:i/>
                <w:iCs/>
                <w:color w:val="auto"/>
                <w:spacing w:val="0"/>
                <w:position w:val="0"/>
                <w:sz w:val="24"/>
                <w:szCs w:val="24"/>
              </w:rPr>
              <w:t>N</w:t>
            </w:r>
            <w:r>
              <w:rPr>
                <w:rFonts w:hint="default" w:ascii="Times New Roman" w:hAnsi="Times New Roman" w:eastAsia="宋体" w:cs="Times New Roman"/>
                <w:b w:val="0"/>
                <w:bCs w:val="0"/>
                <w:color w:val="auto"/>
                <w:spacing w:val="0"/>
                <w:position w:val="0"/>
                <w:sz w:val="24"/>
                <w:szCs w:val="24"/>
              </w:rPr>
              <w:t>个声源</w:t>
            </w:r>
            <w:r>
              <w:rPr>
                <w:rFonts w:hint="default" w:ascii="Times New Roman" w:hAnsi="Times New Roman" w:eastAsia="宋体" w:cs="Times New Roman"/>
                <w:b w:val="0"/>
                <w:bCs w:val="0"/>
                <w:i/>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倍频带的叠加声压级，dB；</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L</w:t>
            </w:r>
            <w:r>
              <w:rPr>
                <w:rFonts w:hint="default" w:ascii="Times New Roman" w:hAnsi="Times New Roman" w:eastAsia="宋体" w:cs="Times New Roman"/>
                <w:b w:val="0"/>
                <w:bCs w:val="0"/>
                <w:iCs/>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vertAlign w:val="subscript"/>
              </w:rPr>
              <w:t>1</w:t>
            </w:r>
            <w:r>
              <w:rPr>
                <w:rFonts w:hint="default" w:ascii="Times New Roman" w:hAnsi="Times New Roman" w:eastAsia="宋体" w:cs="Times New Roman"/>
                <w:b w:val="0"/>
                <w:bCs w:val="0"/>
                <w:iCs/>
                <w:color w:val="auto"/>
                <w:spacing w:val="0"/>
                <w:position w:val="0"/>
                <w:sz w:val="24"/>
                <w:szCs w:val="24"/>
                <w:vertAlign w:val="subscript"/>
              </w:rPr>
              <w:t>ij</w:t>
            </w:r>
            <w:r>
              <w:rPr>
                <w:rFonts w:hint="default" w:ascii="Times New Roman" w:hAnsi="Times New Roman" w:eastAsia="宋体" w:cs="Times New Roman"/>
                <w:b w:val="0"/>
                <w:bCs w:val="0"/>
                <w:color w:val="auto"/>
                <w:spacing w:val="0"/>
                <w:position w:val="0"/>
                <w:sz w:val="24"/>
                <w:szCs w:val="24"/>
              </w:rPr>
              <w:t>—室内</w:t>
            </w:r>
            <w:r>
              <w:rPr>
                <w:rFonts w:hint="default" w:ascii="Times New Roman" w:hAnsi="Times New Roman" w:eastAsia="宋体" w:cs="Times New Roman"/>
                <w:b w:val="0"/>
                <w:bCs w:val="0"/>
                <w:iCs/>
                <w:color w:val="auto"/>
                <w:spacing w:val="0"/>
                <w:position w:val="0"/>
                <w:sz w:val="24"/>
                <w:szCs w:val="24"/>
              </w:rPr>
              <w:t>j</w:t>
            </w:r>
            <w:r>
              <w:rPr>
                <w:rFonts w:hint="default" w:ascii="Times New Roman" w:hAnsi="Times New Roman" w:eastAsia="宋体" w:cs="Times New Roman"/>
                <w:b w:val="0"/>
                <w:bCs w:val="0"/>
                <w:color w:val="auto"/>
                <w:spacing w:val="0"/>
                <w:position w:val="0"/>
                <w:sz w:val="24"/>
                <w:szCs w:val="24"/>
              </w:rPr>
              <w:t>声源</w:t>
            </w:r>
            <w:r>
              <w:rPr>
                <w:rFonts w:hint="default" w:ascii="Times New Roman" w:hAnsi="Times New Roman" w:eastAsia="宋体" w:cs="Times New Roman"/>
                <w:b w:val="0"/>
                <w:bCs w:val="0"/>
                <w:iCs/>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倍频带的声压级，dB；</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Cs/>
                <w:color w:val="auto"/>
                <w:spacing w:val="0"/>
                <w:position w:val="0"/>
                <w:sz w:val="24"/>
                <w:szCs w:val="24"/>
              </w:rPr>
              <w:t xml:space="preserve">     N</w:t>
            </w:r>
            <w:r>
              <w:rPr>
                <w:rFonts w:hint="default" w:ascii="Times New Roman" w:hAnsi="Times New Roman" w:eastAsia="宋体" w:cs="Times New Roman"/>
                <w:b w:val="0"/>
                <w:bCs w:val="0"/>
                <w:color w:val="auto"/>
                <w:spacing w:val="0"/>
                <w:position w:val="0"/>
                <w:sz w:val="24"/>
                <w:szCs w:val="24"/>
              </w:rPr>
              <w:t>—室内声源总数。</w:t>
            </w:r>
          </w:p>
          <w:p>
            <w:pPr>
              <w:pStyle w:val="105"/>
              <w:adjustRightInd w:val="0"/>
              <w:snapToGrid w:val="0"/>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eastAsia" w:cs="Times New Roman"/>
                <w:b w:val="0"/>
                <w:bCs w:val="0"/>
                <w:color w:val="auto"/>
                <w:spacing w:val="0"/>
                <w:position w:val="0"/>
                <w:sz w:val="24"/>
                <w:szCs w:val="24"/>
                <w:lang w:val="en-US" w:eastAsia="zh-CN"/>
              </w:rPr>
              <w:t>④</w:t>
            </w:r>
            <w:r>
              <w:rPr>
                <w:rFonts w:hint="default" w:ascii="Times New Roman" w:hAnsi="Times New Roman" w:eastAsia="宋体" w:cs="Times New Roman"/>
                <w:b w:val="0"/>
                <w:bCs w:val="0"/>
                <w:color w:val="auto"/>
                <w:spacing w:val="0"/>
                <w:position w:val="0"/>
                <w:sz w:val="24"/>
                <w:szCs w:val="24"/>
              </w:rPr>
              <w:t>无指向性点声源几何发散衰减的基本公式是：</w:t>
            </w:r>
          </w:p>
          <w:p>
            <w:pPr>
              <w:pStyle w:val="105"/>
              <w:adjustRightInd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0" o:spt="75" type="#_x0000_t75" style="height:36.95pt;width:131.9pt;" o:ole="t" filled="f" o:preferrelative="t" stroked="f" coordsize="21600,21600">
                  <v:path/>
                  <v:fill on="f" focussize="0,0"/>
                  <v:stroke on="f" joinstyle="miter"/>
                  <v:imagedata r:id="rId32" o:title=""/>
                  <o:lock v:ext="edit" aspectratio="t"/>
                  <w10:wrap type="none"/>
                  <w10:anchorlock/>
                </v:shape>
                <o:OLEObject Type="Embed" ProgID="Equation.3" ShapeID="_x0000_i1030" DrawAspect="Content" ObjectID="_1468075730" r:id="rId31">
                  <o:LockedField>false</o:LockedField>
                </o:OLEObject>
              </w:object>
            </w:r>
          </w:p>
          <w:p>
            <w:pPr>
              <w:spacing w:line="360" w:lineRule="auto"/>
              <w:ind w:firstLine="48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)—预测点处声压级，dB；</w:t>
            </w:r>
          </w:p>
          <w:p>
            <w:pPr>
              <w:spacing w:line="360" w:lineRule="auto"/>
              <w:ind w:firstLine="948" w:firstLineChars="395"/>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p</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i/>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w:t>
            </w: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处的声压级，dB；</w:t>
            </w:r>
          </w:p>
          <w:p>
            <w:pPr>
              <w:pStyle w:val="105"/>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rPr>
              <w:t>—预测点距声源的距离；</w:t>
            </w:r>
          </w:p>
          <w:p>
            <w:pPr>
              <w:pStyle w:val="105"/>
              <w:spacing w:line="360" w:lineRule="auto"/>
              <w:ind w:firstLine="916" w:firstLineChars="382"/>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r</w:t>
            </w:r>
            <w:r>
              <w:rPr>
                <w:rFonts w:hint="default" w:ascii="Times New Roman" w:hAnsi="Times New Roman" w:eastAsia="宋体" w:cs="Times New Roman"/>
                <w:b w:val="0"/>
                <w:bCs w:val="0"/>
                <w:color w:val="auto"/>
                <w:spacing w:val="0"/>
                <w:position w:val="0"/>
                <w:sz w:val="24"/>
                <w:szCs w:val="24"/>
                <w:vertAlign w:val="subscript"/>
              </w:rPr>
              <w:t>0</w:t>
            </w:r>
            <w:r>
              <w:rPr>
                <w:rFonts w:hint="default" w:ascii="Times New Roman" w:hAnsi="Times New Roman" w:eastAsia="宋体" w:cs="Times New Roman"/>
                <w:b w:val="0"/>
                <w:bCs w:val="0"/>
                <w:color w:val="auto"/>
                <w:spacing w:val="0"/>
                <w:position w:val="0"/>
                <w:sz w:val="24"/>
                <w:szCs w:val="24"/>
              </w:rPr>
              <w:t>—参考位置距声源的距离，m。</w:t>
            </w:r>
          </w:p>
          <w:p>
            <w:pPr>
              <w:pStyle w:val="106"/>
              <w:autoSpaceDE w:val="0"/>
              <w:autoSpaceDN w:val="0"/>
              <w:adjustRightInd/>
              <w:spacing w:line="360" w:lineRule="auto"/>
              <w:ind w:left="647" w:leftChars="308" w:firstLine="72" w:firstLineChars="3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建设项目声源在预测点产生的等效声级贡献值</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计算公式：</w:t>
            </w:r>
          </w:p>
          <w:p>
            <w:pPr>
              <w:pStyle w:val="106"/>
              <w:autoSpaceDE w:val="0"/>
              <w:autoSpaceDN w:val="0"/>
              <w:snapToGrid w:val="0"/>
              <w:spacing w:line="360" w:lineRule="auto"/>
              <w:ind w:firstLine="198"/>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1" o:spt="75" type="#_x0000_t75" style="height:39.5pt;width:143.35pt;" o:ole="t" filled="f" o:preferrelative="t" stroked="f" coordsize="21600,21600">
                  <v:path/>
                  <v:fill on="f" focussize="0,0"/>
                  <v:stroke on="f" joinstyle="miter"/>
                  <v:imagedata r:id="rId34" o:title=""/>
                  <o:lock v:ext="edit" aspectratio="t"/>
                  <w10:wrap type="none"/>
                  <w10:anchorlock/>
                </v:shape>
                <o:OLEObject Type="Embed" ProgID="Equation.3" ShapeID="_x0000_i1031" DrawAspect="Content" ObjectID="_1468075731" r:id="rId33">
                  <o:LockedField>false</o:LockedField>
                </o:OLEObject>
              </w:object>
            </w:r>
          </w:p>
          <w:p>
            <w:pPr>
              <w:pStyle w:val="106"/>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6"/>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L</w:t>
            </w:r>
            <w:r>
              <w:rPr>
                <w:rFonts w:hint="default" w:ascii="Times New Roman" w:hAnsi="Times New Roman" w:eastAsia="宋体" w:cs="Times New Roman"/>
                <w:b w:val="0"/>
                <w:bCs w:val="0"/>
                <w:color w:val="auto"/>
                <w:spacing w:val="0"/>
                <w:position w:val="0"/>
                <w:sz w:val="24"/>
                <w:szCs w:val="24"/>
                <w:vertAlign w:val="subscript"/>
              </w:rPr>
              <w:t>Ai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声源在预测点产生的A声级，dB(A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pStyle w:val="106"/>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rPr>
              <w:t>—预测计算的时间段，s；</w:t>
            </w:r>
          </w:p>
          <w:p>
            <w:pPr>
              <w:pStyle w:val="105"/>
              <w:spacing w:line="360" w:lineRule="auto"/>
              <w:ind w:firstLine="480" w:firstLineChars="200"/>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i/>
                <w:color w:val="auto"/>
                <w:spacing w:val="0"/>
                <w:position w:val="0"/>
                <w:sz w:val="24"/>
                <w:szCs w:val="24"/>
              </w:rPr>
              <w:t xml:space="preserve">     t</w:t>
            </w:r>
            <w:r>
              <w:rPr>
                <w:rFonts w:hint="default" w:ascii="Times New Roman" w:hAnsi="Times New Roman" w:eastAsia="宋体" w:cs="Times New Roman"/>
                <w:b w:val="0"/>
                <w:bCs w:val="0"/>
                <w:color w:val="auto"/>
                <w:spacing w:val="0"/>
                <w:position w:val="0"/>
                <w:sz w:val="24"/>
                <w:szCs w:val="24"/>
                <w:vertAlign w:val="subscript"/>
              </w:rPr>
              <w:t>i</w:t>
            </w:r>
            <w:r>
              <w:rPr>
                <w:rFonts w:hint="default" w:ascii="Times New Roman" w:hAnsi="Times New Roman" w:eastAsia="宋体" w:cs="Times New Roman"/>
                <w:b w:val="0"/>
                <w:bCs w:val="0"/>
                <w:color w:val="auto"/>
                <w:spacing w:val="0"/>
                <w:position w:val="0"/>
                <w:sz w:val="24"/>
                <w:szCs w:val="24"/>
              </w:rPr>
              <w:t>—</w:t>
            </w:r>
            <w:r>
              <w:rPr>
                <w:rFonts w:hint="default" w:ascii="Times New Roman" w:hAnsi="Times New Roman" w:eastAsia="宋体" w:cs="Times New Roman"/>
                <w:b w:val="0"/>
                <w:bCs w:val="0"/>
                <w:i/>
                <w:color w:val="auto"/>
                <w:spacing w:val="0"/>
                <w:position w:val="0"/>
                <w:sz w:val="24"/>
                <w:szCs w:val="24"/>
              </w:rPr>
              <w:t>i</w:t>
            </w:r>
            <w:r>
              <w:rPr>
                <w:rFonts w:hint="default" w:ascii="Times New Roman" w:hAnsi="Times New Roman" w:eastAsia="宋体" w:cs="Times New Roman"/>
                <w:b w:val="0"/>
                <w:bCs w:val="0"/>
                <w:color w:val="auto"/>
                <w:spacing w:val="0"/>
                <w:position w:val="0"/>
                <w:sz w:val="24"/>
                <w:szCs w:val="24"/>
              </w:rPr>
              <w:t>声源在T时段内的运行时间，s。</w:t>
            </w:r>
          </w:p>
          <w:p>
            <w:pPr>
              <w:pStyle w:val="106"/>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预测点的预测等效声级</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w:t>
            </w:r>
            <w:r>
              <w:rPr>
                <w:rFonts w:hint="eastAsia" w:ascii="Times New Roman" w:hAnsi="Times New Roman" w:eastAsia="宋体" w:cs="Times New Roman"/>
                <w:b w:val="0"/>
                <w:bCs w:val="0"/>
                <w:color w:val="auto"/>
                <w:spacing w:val="0"/>
                <w:position w:val="0"/>
                <w:sz w:val="24"/>
                <w:szCs w:val="24"/>
                <w:vertAlign w:val="subscript"/>
                <w:lang w:eastAsia="zh-CN"/>
              </w:rPr>
              <w:t>）</w:t>
            </w:r>
            <w:r>
              <w:rPr>
                <w:rFonts w:hint="default" w:ascii="Times New Roman" w:hAnsi="Times New Roman" w:eastAsia="宋体" w:cs="Times New Roman"/>
                <w:b w:val="0"/>
                <w:bCs w:val="0"/>
                <w:color w:val="auto"/>
                <w:spacing w:val="0"/>
                <w:position w:val="0"/>
                <w:sz w:val="24"/>
                <w:szCs w:val="24"/>
              </w:rPr>
              <w:t xml:space="preserve">计算公式： </w:t>
            </w:r>
          </w:p>
          <w:p>
            <w:pPr>
              <w:autoSpaceDE w:val="0"/>
              <w:autoSpaceDN w:val="0"/>
              <w:spacing w:line="360" w:lineRule="auto"/>
              <w:ind w:firstLine="480"/>
              <w:jc w:val="center"/>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object>
                <v:shape id="_x0000_i1032" o:spt="75" type="#_x0000_t75" style="height:24.85pt;width:183.5pt;" o:ole="t" filled="f" o:preferrelative="t" stroked="f" coordsize="21600,21600">
                  <v:path/>
                  <v:fill on="f" focussize="0,0"/>
                  <v:stroke on="f" joinstyle="miter"/>
                  <v:imagedata r:id="rId36" o:title=""/>
                  <o:lock v:ext="edit" aspectratio="t"/>
                  <w10:wrap type="none"/>
                  <w10:anchorlock/>
                </v:shape>
                <o:OLEObject Type="Embed" ProgID="Equation.3" ShapeID="_x0000_i1032" DrawAspect="Content" ObjectID="_1468075732" r:id="rId35">
                  <o:LockedField>false</o:LockedField>
                </o:OLEObject>
              </w:object>
            </w:r>
          </w:p>
          <w:p>
            <w:pPr>
              <w:pStyle w:val="106"/>
              <w:autoSpaceDE w:val="0"/>
              <w:autoSpaceDN w:val="0"/>
              <w:adjustRightInd/>
              <w:spacing w:line="360" w:lineRule="auto"/>
              <w:ind w:firstLine="480" w:firstLineChars="200"/>
              <w:jc w:val="both"/>
              <w:textAlignment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式中：</w:t>
            </w:r>
            <w:r>
              <w:rPr>
                <w:rFonts w:hint="default" w:ascii="Times New Roman" w:hAnsi="Times New Roman" w:eastAsia="宋体" w:cs="Times New Roman"/>
                <w:b w:val="0"/>
                <w:bCs w:val="0"/>
                <w:i/>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eqg</w:t>
            </w:r>
            <w:r>
              <w:rPr>
                <w:rFonts w:hint="default" w:ascii="Times New Roman" w:hAnsi="Times New Roman" w:eastAsia="宋体" w:cs="Times New Roman"/>
                <w:b w:val="0"/>
                <w:bCs w:val="0"/>
                <w:color w:val="auto"/>
                <w:spacing w:val="0"/>
                <w:position w:val="0"/>
                <w:sz w:val="24"/>
                <w:szCs w:val="24"/>
              </w:rPr>
              <w:t>—建设项目声源在预测点的等效声级贡献值，dB(A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 xml:space="preserve">； </w:t>
            </w:r>
          </w:p>
          <w:p>
            <w:pPr>
              <w:pStyle w:val="48"/>
              <w:spacing w:line="360" w:lineRule="auto"/>
              <w:ind w:firstLine="48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L</w:t>
            </w:r>
            <w:r>
              <w:rPr>
                <w:rFonts w:hint="default" w:ascii="Times New Roman" w:hAnsi="Times New Roman" w:eastAsia="宋体" w:cs="Times New Roman"/>
                <w:b w:val="0"/>
                <w:bCs w:val="0"/>
                <w:color w:val="auto"/>
                <w:spacing w:val="0"/>
                <w:position w:val="0"/>
                <w:sz w:val="24"/>
                <w:szCs w:val="24"/>
                <w:vertAlign w:val="subscript"/>
              </w:rPr>
              <w:t>eqb</w:t>
            </w:r>
            <w:r>
              <w:rPr>
                <w:rFonts w:hint="default" w:ascii="Times New Roman" w:hAnsi="Times New Roman" w:eastAsia="宋体" w:cs="Times New Roman"/>
                <w:b w:val="0"/>
                <w:bCs w:val="0"/>
                <w:color w:val="auto"/>
                <w:spacing w:val="0"/>
                <w:position w:val="0"/>
                <w:sz w:val="24"/>
                <w:szCs w:val="24"/>
              </w:rPr>
              <w:t>—预测点的背景值，dB(A</w:t>
            </w:r>
            <w:r>
              <w:rPr>
                <w:rFonts w:hint="eastAsia" w:ascii="Times New Roman" w:hAnsi="Times New Roman" w:eastAsia="宋体" w:cs="Times New Roman"/>
                <w:b w:val="0"/>
                <w:bCs w:val="0"/>
                <w:color w:val="auto"/>
                <w:spacing w:val="0"/>
                <w:position w:val="0"/>
                <w:sz w:val="24"/>
                <w:szCs w:val="24"/>
                <w:lang w:eastAsia="zh-CN"/>
              </w:rPr>
              <w:t>）</w:t>
            </w:r>
            <w:r>
              <w:rPr>
                <w:rFonts w:hint="default" w:ascii="Times New Roman" w:hAnsi="Times New Roman" w:eastAsia="宋体" w:cs="Times New Roman"/>
                <w:b w:val="0"/>
                <w:bCs w:val="0"/>
                <w:color w:val="auto"/>
                <w:spacing w:val="0"/>
                <w:position w:val="0"/>
                <w:sz w:val="24"/>
                <w:szCs w:val="24"/>
              </w:rPr>
              <w:t>。</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⑤户外声传播衰减计算</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户外声传播衰减包括几何发散（A</w:t>
            </w:r>
            <w:r>
              <w:rPr>
                <w:rFonts w:hint="default" w:ascii="Times New Roman" w:hAnsi="Times New Roman" w:eastAsia="宋体" w:cs="Times New Roman"/>
                <w:b w:val="0"/>
                <w:bCs w:val="0"/>
                <w:color w:val="auto"/>
                <w:spacing w:val="0"/>
                <w:position w:val="0"/>
                <w:sz w:val="24"/>
                <w:szCs w:val="24"/>
                <w:vertAlign w:val="subscript"/>
              </w:rPr>
              <w:t>div</w:t>
            </w:r>
            <w:r>
              <w:rPr>
                <w:rFonts w:hint="default" w:ascii="Times New Roman" w:hAnsi="Times New Roman" w:eastAsia="宋体" w:cs="Times New Roman"/>
                <w:b w:val="0"/>
                <w:bCs w:val="0"/>
                <w:color w:val="auto"/>
                <w:spacing w:val="0"/>
                <w:position w:val="0"/>
                <w:sz w:val="24"/>
                <w:szCs w:val="24"/>
              </w:rPr>
              <w:t>）、大气吸收（A</w:t>
            </w:r>
            <w:r>
              <w:rPr>
                <w:rFonts w:hint="default" w:ascii="Times New Roman" w:hAnsi="Times New Roman" w:eastAsia="宋体" w:cs="Times New Roman"/>
                <w:b w:val="0"/>
                <w:bCs w:val="0"/>
                <w:color w:val="auto"/>
                <w:spacing w:val="0"/>
                <w:position w:val="0"/>
                <w:sz w:val="24"/>
                <w:szCs w:val="24"/>
                <w:vertAlign w:val="subscript"/>
              </w:rPr>
              <w:t>atm</w:t>
            </w:r>
            <w:r>
              <w:rPr>
                <w:rFonts w:hint="default" w:ascii="Times New Roman" w:hAnsi="Times New Roman" w:eastAsia="宋体" w:cs="Times New Roman"/>
                <w:b w:val="0"/>
                <w:bCs w:val="0"/>
                <w:color w:val="auto"/>
                <w:spacing w:val="0"/>
                <w:position w:val="0"/>
                <w:sz w:val="24"/>
                <w:szCs w:val="24"/>
              </w:rPr>
              <w:t>）、地面效应（A</w:t>
            </w:r>
            <w:r>
              <w:rPr>
                <w:rFonts w:hint="default" w:ascii="Times New Roman" w:hAnsi="Times New Roman" w:eastAsia="宋体" w:cs="Times New Roman"/>
                <w:b w:val="0"/>
                <w:bCs w:val="0"/>
                <w:color w:val="auto"/>
                <w:spacing w:val="0"/>
                <w:position w:val="0"/>
                <w:sz w:val="24"/>
                <w:szCs w:val="24"/>
                <w:vertAlign w:val="subscript"/>
              </w:rPr>
              <w:t>gr</w:t>
            </w:r>
            <w:r>
              <w:rPr>
                <w:rFonts w:hint="default" w:ascii="Times New Roman" w:hAnsi="Times New Roman" w:eastAsia="宋体" w:cs="Times New Roman"/>
                <w:b w:val="0"/>
                <w:bCs w:val="0"/>
                <w:color w:val="auto"/>
                <w:spacing w:val="0"/>
                <w:position w:val="0"/>
                <w:sz w:val="24"/>
                <w:szCs w:val="24"/>
              </w:rPr>
              <w:t>）、屏障屏蔽（A</w:t>
            </w:r>
            <w:r>
              <w:rPr>
                <w:rFonts w:hint="default" w:ascii="Times New Roman" w:hAnsi="Times New Roman" w:eastAsia="宋体" w:cs="Times New Roman"/>
                <w:b w:val="0"/>
                <w:bCs w:val="0"/>
                <w:color w:val="auto"/>
                <w:spacing w:val="0"/>
                <w:position w:val="0"/>
                <w:sz w:val="24"/>
                <w:szCs w:val="24"/>
                <w:vertAlign w:val="subscript"/>
              </w:rPr>
              <w:t>bar</w:t>
            </w:r>
            <w:r>
              <w:rPr>
                <w:rFonts w:hint="default" w:ascii="Times New Roman" w:hAnsi="Times New Roman" w:eastAsia="宋体" w:cs="Times New Roman"/>
                <w:b w:val="0"/>
                <w:bCs w:val="0"/>
                <w:color w:val="auto"/>
                <w:spacing w:val="0"/>
                <w:position w:val="0"/>
                <w:sz w:val="24"/>
                <w:szCs w:val="24"/>
              </w:rPr>
              <w:t>）、其他多方面效应（A</w:t>
            </w:r>
            <w:r>
              <w:rPr>
                <w:rFonts w:hint="default" w:ascii="Times New Roman" w:hAnsi="Times New Roman" w:eastAsia="宋体" w:cs="Times New Roman"/>
                <w:b w:val="0"/>
                <w:bCs w:val="0"/>
                <w:color w:val="auto"/>
                <w:spacing w:val="0"/>
                <w:position w:val="0"/>
                <w:sz w:val="24"/>
                <w:szCs w:val="24"/>
                <w:vertAlign w:val="subscript"/>
              </w:rPr>
              <w:t>misc</w:t>
            </w:r>
            <w:r>
              <w:rPr>
                <w:rFonts w:hint="default" w:ascii="Times New Roman" w:hAnsi="Times New Roman" w:eastAsia="宋体" w:cs="Times New Roman"/>
                <w:b w:val="0"/>
                <w:bCs w:val="0"/>
                <w:color w:val="auto"/>
                <w:spacing w:val="0"/>
                <w:position w:val="0"/>
                <w:sz w:val="24"/>
                <w:szCs w:val="24"/>
              </w:rPr>
              <w:t>）引起的衰减。</w:t>
            </w:r>
          </w:p>
          <w:p>
            <w:pPr>
              <w:spacing w:line="360" w:lineRule="auto"/>
              <w:ind w:firstLine="480" w:firstLineChars="200"/>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t>距声源点r处的A声级按下式计算：</w:t>
            </w:r>
          </w:p>
          <w:p>
            <w:pPr>
              <w:spacing w:line="360" w:lineRule="auto"/>
              <w:jc w:val="center"/>
              <w:rPr>
                <w:rFonts w:hint="default" w:ascii="Times New Roman" w:hAnsi="Times New Roman" w:eastAsia="宋体" w:cs="Times New Roman"/>
                <w:b w:val="0"/>
                <w:bCs w:val="0"/>
                <w:color w:val="auto"/>
                <w:spacing w:val="0"/>
                <w:position w:val="0"/>
                <w:sz w:val="24"/>
                <w:szCs w:val="24"/>
              </w:rPr>
            </w:pPr>
            <w:r>
              <w:rPr>
                <w:rFonts w:hint="default" w:ascii="Times New Roman" w:hAnsi="Times New Roman" w:eastAsia="宋体" w:cs="Times New Roman"/>
                <w:b w:val="0"/>
                <w:bCs w:val="0"/>
                <w:color w:val="auto"/>
                <w:spacing w:val="0"/>
                <w:position w:val="0"/>
                <w:sz w:val="24"/>
                <w:szCs w:val="24"/>
              </w:rPr>
              <w:drawing>
                <wp:inline distT="0" distB="0" distL="0" distR="0">
                  <wp:extent cx="3932555" cy="331470"/>
                  <wp:effectExtent l="0" t="0" r="10795" b="11430"/>
                  <wp:docPr id="31" name="图片 3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44"/>
                          <pic:cNvPicPr>
                            <a:picLocks noChangeAspect="1" noChangeArrowheads="1"/>
                          </pic:cNvPicPr>
                        </pic:nvPicPr>
                        <pic:blipFill>
                          <a:blip r:embed="rId37"/>
                          <a:srcRect/>
                          <a:stretch>
                            <a:fillRect/>
                          </a:stretch>
                        </pic:blipFill>
                        <pic:spPr>
                          <a:xfrm>
                            <a:off x="0" y="0"/>
                            <a:ext cx="3932555" cy="331470"/>
                          </a:xfrm>
                          <a:prstGeom prst="rect">
                            <a:avLst/>
                          </a:prstGeom>
                          <a:noFill/>
                          <a:ln w="9525">
                            <a:noFill/>
                            <a:miter lim="800000"/>
                            <a:headEnd/>
                            <a:tailEnd/>
                          </a:ln>
                        </pic:spPr>
                      </pic:pic>
                    </a:graphicData>
                  </a:graphic>
                </wp:inline>
              </w:drawing>
            </w:r>
          </w:p>
          <w:p>
            <w:pPr>
              <w:keepNext w:val="0"/>
              <w:keepLines w:val="0"/>
              <w:pageBreakBefore w:val="0"/>
              <w:kinsoku/>
              <w:overflowPunct/>
              <w:topLinePunct w:val="0"/>
              <w:bidi w:val="0"/>
              <w:spacing w:line="360" w:lineRule="auto"/>
              <w:ind w:firstLine="480" w:firstLineChars="200"/>
              <w:jc w:val="left"/>
              <w:rPr>
                <w:rFonts w:ascii="Times New Roman" w:hAnsi="Times New Roman" w:eastAsia="宋体" w:cs="Times New Roman"/>
                <w:b/>
                <w:bCs/>
                <w:color w:val="auto"/>
                <w:sz w:val="21"/>
                <w:szCs w:val="21"/>
                <w:lang w:val="zh-CN"/>
              </w:rPr>
            </w:pPr>
            <w:r>
              <w:rPr>
                <w:rFonts w:hint="default" w:ascii="Times New Roman" w:hAnsi="Times New Roman" w:eastAsia="宋体" w:cs="Times New Roman"/>
                <w:b w:val="0"/>
                <w:bCs w:val="0"/>
                <w:color w:val="auto"/>
                <w:spacing w:val="0"/>
                <w:position w:val="0"/>
                <w:sz w:val="24"/>
                <w:szCs w:val="24"/>
              </w:rPr>
              <w:t>在预测中考虑反射引起的修正、屏障引起的衰减、双绕射、室内声源等效室外声源等影响和计算方法。</w:t>
            </w:r>
          </w:p>
          <w:p>
            <w:pPr>
              <w:keepNext w:val="0"/>
              <w:keepLines w:val="0"/>
              <w:pageBreakBefore w:val="0"/>
              <w:kinsoku/>
              <w:overflowPunct/>
              <w:topLinePunct w:val="0"/>
              <w:bidi w:val="0"/>
              <w:spacing w:line="360" w:lineRule="auto"/>
              <w:ind w:firstLine="482" w:firstLineChars="200"/>
              <w:jc w:val="center"/>
              <w:rPr>
                <w:rFonts w:hint="default" w:ascii="Times New Roman" w:hAnsi="Times New Roman" w:eastAsia="宋体" w:cs="Times New Roman"/>
                <w:b/>
                <w:bCs/>
                <w:color w:val="auto"/>
                <w:sz w:val="24"/>
                <w:szCs w:val="24"/>
                <w:lang w:val="en-US" w:eastAsia="zh-CN"/>
              </w:rPr>
            </w:pPr>
            <w:r>
              <w:rPr>
                <w:rFonts w:ascii="Times New Roman" w:hAnsi="Times New Roman" w:eastAsia="宋体" w:cs="Times New Roman"/>
                <w:b/>
                <w:bCs/>
                <w:color w:val="auto"/>
                <w:sz w:val="24"/>
                <w:szCs w:val="24"/>
                <w:lang w:val="zh-CN"/>
              </w:rPr>
              <w:t>表4-</w:t>
            </w:r>
            <w:r>
              <w:rPr>
                <w:rFonts w:hint="eastAsia" w:cs="Times New Roman"/>
                <w:b/>
                <w:bCs/>
                <w:color w:val="auto"/>
                <w:sz w:val="24"/>
                <w:szCs w:val="24"/>
                <w:lang w:val="en-US" w:eastAsia="zh-CN"/>
              </w:rPr>
              <w:t>9</w:t>
            </w:r>
            <w:r>
              <w:rPr>
                <w:rFonts w:ascii="Times New Roman" w:hAnsi="Times New Roman" w:eastAsia="宋体" w:cs="Times New Roman"/>
                <w:b/>
                <w:bCs/>
                <w:color w:val="auto"/>
                <w:sz w:val="24"/>
                <w:szCs w:val="24"/>
                <w:lang w:val="zh-CN"/>
              </w:rPr>
              <w:t xml:space="preserve"> 主要噪声</w:t>
            </w:r>
            <w:r>
              <w:rPr>
                <w:rFonts w:hint="eastAsia" w:ascii="Times New Roman" w:hAnsi="Times New Roman" w:eastAsia="宋体" w:cs="Times New Roman"/>
                <w:b/>
                <w:bCs/>
                <w:color w:val="auto"/>
                <w:sz w:val="24"/>
                <w:szCs w:val="24"/>
                <w:lang w:val="en-US" w:eastAsia="zh-CN"/>
              </w:rPr>
              <w:t>影响预测结果</w:t>
            </w:r>
          </w:p>
          <w:tbl>
            <w:tblPr>
              <w:tblStyle w:val="30"/>
              <w:tblW w:w="8663"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92"/>
              <w:gridCol w:w="829"/>
              <w:gridCol w:w="830"/>
              <w:gridCol w:w="762"/>
              <w:gridCol w:w="761"/>
              <w:gridCol w:w="762"/>
              <w:gridCol w:w="751"/>
              <w:gridCol w:w="777"/>
              <w:gridCol w:w="742"/>
              <w:gridCol w:w="782"/>
              <w:gridCol w:w="775"/>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trPr>
              <w:tc>
                <w:tcPr>
                  <w:tcW w:w="892" w:type="dxa"/>
                  <w:vMerge w:val="restart"/>
                  <w:noWrap w:val="0"/>
                  <w:vAlign w:val="center"/>
                </w:tcPr>
                <w:p>
                  <w:pPr>
                    <w:snapToGrid w:val="0"/>
                    <w:jc w:val="center"/>
                    <w:rPr>
                      <w:b/>
                      <w:bCs/>
                      <w:color w:val="auto"/>
                      <w:szCs w:val="21"/>
                    </w:rPr>
                  </w:pPr>
                  <w:r>
                    <w:rPr>
                      <w:b/>
                      <w:bCs/>
                      <w:color w:val="auto"/>
                      <w:szCs w:val="21"/>
                      <w:lang w:bidi="ar"/>
                    </w:rPr>
                    <w:t>预测点</w:t>
                  </w:r>
                </w:p>
              </w:tc>
              <w:tc>
                <w:tcPr>
                  <w:tcW w:w="1659" w:type="dxa"/>
                  <w:gridSpan w:val="2"/>
                  <w:noWrap w:val="0"/>
                  <w:vAlign w:val="center"/>
                </w:tcPr>
                <w:p>
                  <w:pPr>
                    <w:snapToGrid w:val="0"/>
                    <w:jc w:val="center"/>
                    <w:rPr>
                      <w:b/>
                      <w:bCs/>
                      <w:color w:val="auto"/>
                      <w:szCs w:val="21"/>
                    </w:rPr>
                  </w:pPr>
                  <w:r>
                    <w:rPr>
                      <w:b/>
                      <w:bCs/>
                      <w:color w:val="auto"/>
                      <w:szCs w:val="21"/>
                      <w:lang w:bidi="ar"/>
                    </w:rPr>
                    <w:t>贡献值/dB（A）</w:t>
                  </w:r>
                </w:p>
              </w:tc>
              <w:tc>
                <w:tcPr>
                  <w:tcW w:w="1523" w:type="dxa"/>
                  <w:gridSpan w:val="2"/>
                  <w:noWrap w:val="0"/>
                  <w:vAlign w:val="center"/>
                </w:tcPr>
                <w:p>
                  <w:pPr>
                    <w:snapToGrid w:val="0"/>
                    <w:jc w:val="center"/>
                    <w:rPr>
                      <w:rFonts w:hint="eastAsia" w:eastAsia="宋体"/>
                      <w:b/>
                      <w:bCs/>
                      <w:color w:val="auto"/>
                      <w:szCs w:val="21"/>
                      <w:lang w:val="en-US" w:eastAsia="zh-CN" w:bidi="ar"/>
                    </w:rPr>
                  </w:pPr>
                  <w:r>
                    <w:rPr>
                      <w:rFonts w:hint="eastAsia"/>
                      <w:b/>
                      <w:bCs/>
                      <w:color w:val="auto"/>
                      <w:szCs w:val="21"/>
                      <w:lang w:val="en-US" w:eastAsia="zh-CN" w:bidi="ar"/>
                    </w:rPr>
                    <w:t>背景值</w:t>
                  </w:r>
                  <w:r>
                    <w:rPr>
                      <w:b/>
                      <w:bCs/>
                      <w:color w:val="auto"/>
                      <w:szCs w:val="21"/>
                      <w:lang w:bidi="ar"/>
                    </w:rPr>
                    <w:t>/dB（A）</w:t>
                  </w:r>
                </w:p>
              </w:tc>
              <w:tc>
                <w:tcPr>
                  <w:tcW w:w="1513" w:type="dxa"/>
                  <w:gridSpan w:val="2"/>
                  <w:noWrap w:val="0"/>
                  <w:vAlign w:val="center"/>
                </w:tcPr>
                <w:p>
                  <w:pPr>
                    <w:snapToGrid w:val="0"/>
                    <w:jc w:val="center"/>
                    <w:rPr>
                      <w:rFonts w:hint="default"/>
                      <w:b/>
                      <w:bCs/>
                      <w:color w:val="auto"/>
                      <w:szCs w:val="21"/>
                      <w:lang w:val="en-US" w:eastAsia="zh-CN" w:bidi="ar"/>
                    </w:rPr>
                  </w:pPr>
                  <w:r>
                    <w:rPr>
                      <w:rFonts w:hint="eastAsia"/>
                      <w:b/>
                      <w:bCs/>
                      <w:color w:val="auto"/>
                      <w:szCs w:val="21"/>
                      <w:lang w:val="en-US" w:eastAsia="zh-CN" w:bidi="ar"/>
                    </w:rPr>
                    <w:t>叠加值</w:t>
                  </w:r>
                  <w:r>
                    <w:rPr>
                      <w:b/>
                      <w:bCs/>
                      <w:color w:val="auto"/>
                      <w:szCs w:val="21"/>
                      <w:lang w:bidi="ar"/>
                    </w:rPr>
                    <w:t>/dB（A）</w:t>
                  </w:r>
                </w:p>
              </w:tc>
              <w:tc>
                <w:tcPr>
                  <w:tcW w:w="1519" w:type="dxa"/>
                  <w:gridSpan w:val="2"/>
                  <w:noWrap w:val="0"/>
                  <w:vAlign w:val="center"/>
                </w:tcPr>
                <w:p>
                  <w:pPr>
                    <w:snapToGrid w:val="0"/>
                    <w:jc w:val="center"/>
                    <w:rPr>
                      <w:b/>
                      <w:bCs/>
                      <w:color w:val="auto"/>
                      <w:szCs w:val="21"/>
                    </w:rPr>
                  </w:pPr>
                  <w:r>
                    <w:rPr>
                      <w:b/>
                      <w:bCs/>
                      <w:color w:val="auto"/>
                      <w:szCs w:val="21"/>
                      <w:lang w:bidi="ar"/>
                    </w:rPr>
                    <w:t>噪声标准/dB（A）</w:t>
                  </w:r>
                </w:p>
              </w:tc>
              <w:tc>
                <w:tcPr>
                  <w:tcW w:w="1557" w:type="dxa"/>
                  <w:gridSpan w:val="2"/>
                  <w:noWrap w:val="0"/>
                  <w:vAlign w:val="center"/>
                </w:tcPr>
                <w:p>
                  <w:pPr>
                    <w:snapToGrid w:val="0"/>
                    <w:jc w:val="center"/>
                    <w:rPr>
                      <w:b/>
                      <w:bCs/>
                      <w:color w:val="auto"/>
                      <w:szCs w:val="21"/>
                    </w:rPr>
                  </w:pPr>
                  <w:r>
                    <w:rPr>
                      <w:b/>
                      <w:bCs/>
                      <w:color w:val="auto"/>
                      <w:szCs w:val="21"/>
                      <w:lang w:bidi="ar"/>
                    </w:rPr>
                    <w:t>超标和达标情况</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vMerge w:val="continue"/>
                  <w:noWrap w:val="0"/>
                  <w:vAlign w:val="center"/>
                </w:tcPr>
                <w:p>
                  <w:pPr>
                    <w:rPr>
                      <w:rFonts w:eastAsia="等线"/>
                      <w:color w:val="auto"/>
                      <w:sz w:val="20"/>
                      <w:szCs w:val="20"/>
                    </w:rPr>
                  </w:pPr>
                </w:p>
              </w:tc>
              <w:tc>
                <w:tcPr>
                  <w:tcW w:w="829" w:type="dxa"/>
                  <w:noWrap w:val="0"/>
                  <w:vAlign w:val="center"/>
                </w:tcPr>
                <w:p>
                  <w:pPr>
                    <w:snapToGrid w:val="0"/>
                    <w:jc w:val="center"/>
                    <w:rPr>
                      <w:rFonts w:hint="default" w:eastAsia="宋体"/>
                      <w:b/>
                      <w:bCs/>
                      <w:color w:val="auto"/>
                      <w:szCs w:val="21"/>
                      <w:lang w:val="en-US" w:eastAsia="zh-CN"/>
                    </w:rPr>
                  </w:pPr>
                  <w:r>
                    <w:rPr>
                      <w:rFonts w:hint="eastAsia"/>
                      <w:b/>
                      <w:bCs/>
                      <w:color w:val="auto"/>
                      <w:szCs w:val="21"/>
                    </w:rPr>
                    <w:t>昼间</w:t>
                  </w:r>
                </w:p>
              </w:tc>
              <w:tc>
                <w:tcPr>
                  <w:tcW w:w="830"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rFonts w:hint="eastAsia"/>
                      <w:b/>
                      <w:bCs/>
                      <w:color w:val="auto"/>
                      <w:szCs w:val="21"/>
                    </w:rPr>
                  </w:pPr>
                  <w:r>
                    <w:rPr>
                      <w:rFonts w:hint="eastAsia"/>
                      <w:b/>
                      <w:bCs/>
                      <w:color w:val="auto"/>
                      <w:szCs w:val="21"/>
                    </w:rPr>
                    <w:t>昼间</w:t>
                  </w:r>
                </w:p>
              </w:tc>
              <w:tc>
                <w:tcPr>
                  <w:tcW w:w="761"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62" w:type="dxa"/>
                  <w:noWrap w:val="0"/>
                  <w:vAlign w:val="center"/>
                </w:tcPr>
                <w:p>
                  <w:pPr>
                    <w:snapToGrid w:val="0"/>
                    <w:jc w:val="center"/>
                    <w:rPr>
                      <w:b/>
                      <w:bCs/>
                      <w:color w:val="auto"/>
                      <w:szCs w:val="21"/>
                    </w:rPr>
                  </w:pPr>
                  <w:r>
                    <w:rPr>
                      <w:rFonts w:hint="eastAsia"/>
                      <w:b/>
                      <w:bCs/>
                      <w:color w:val="auto"/>
                      <w:szCs w:val="21"/>
                    </w:rPr>
                    <w:t>昼间</w:t>
                  </w:r>
                </w:p>
              </w:tc>
              <w:tc>
                <w:tcPr>
                  <w:tcW w:w="751" w:type="dxa"/>
                  <w:noWrap w:val="0"/>
                  <w:vAlign w:val="center"/>
                </w:tcPr>
                <w:p>
                  <w:pPr>
                    <w:snapToGrid w:val="0"/>
                    <w:jc w:val="center"/>
                    <w:rPr>
                      <w:b/>
                      <w:bCs/>
                      <w:color w:val="auto"/>
                      <w:szCs w:val="21"/>
                    </w:rPr>
                  </w:pPr>
                  <w:r>
                    <w:rPr>
                      <w:rFonts w:hint="eastAsia"/>
                      <w:b/>
                      <w:bCs/>
                      <w:color w:val="auto"/>
                      <w:szCs w:val="21"/>
                      <w:lang w:val="en-US" w:eastAsia="zh-CN"/>
                    </w:rPr>
                    <w:t>夜</w:t>
                  </w:r>
                  <w:r>
                    <w:rPr>
                      <w:rFonts w:hint="eastAsia"/>
                      <w:b/>
                      <w:bCs/>
                      <w:color w:val="auto"/>
                      <w:szCs w:val="21"/>
                    </w:rPr>
                    <w:t>间</w:t>
                  </w:r>
                </w:p>
              </w:tc>
              <w:tc>
                <w:tcPr>
                  <w:tcW w:w="777" w:type="dxa"/>
                  <w:noWrap w:val="0"/>
                  <w:vAlign w:val="center"/>
                </w:tcPr>
                <w:p>
                  <w:pPr>
                    <w:snapToGrid w:val="0"/>
                    <w:jc w:val="center"/>
                    <w:rPr>
                      <w:rFonts w:hint="eastAsia"/>
                      <w:b/>
                      <w:bCs/>
                      <w:color w:val="auto"/>
                      <w:szCs w:val="21"/>
                    </w:rPr>
                  </w:pPr>
                  <w:r>
                    <w:rPr>
                      <w:rFonts w:hint="eastAsia"/>
                      <w:b/>
                      <w:bCs/>
                      <w:color w:val="auto"/>
                      <w:szCs w:val="21"/>
                    </w:rPr>
                    <w:t>昼间</w:t>
                  </w:r>
                </w:p>
              </w:tc>
              <w:tc>
                <w:tcPr>
                  <w:tcW w:w="742"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c>
                <w:tcPr>
                  <w:tcW w:w="782" w:type="dxa"/>
                  <w:noWrap w:val="0"/>
                  <w:vAlign w:val="center"/>
                </w:tcPr>
                <w:p>
                  <w:pPr>
                    <w:snapToGrid w:val="0"/>
                    <w:jc w:val="center"/>
                    <w:rPr>
                      <w:rFonts w:hint="eastAsia"/>
                      <w:b/>
                      <w:bCs/>
                      <w:color w:val="auto"/>
                      <w:szCs w:val="21"/>
                    </w:rPr>
                  </w:pPr>
                  <w:r>
                    <w:rPr>
                      <w:rFonts w:hint="eastAsia"/>
                      <w:b/>
                      <w:bCs/>
                      <w:color w:val="auto"/>
                      <w:szCs w:val="21"/>
                    </w:rPr>
                    <w:t>昼间</w:t>
                  </w:r>
                </w:p>
              </w:tc>
              <w:tc>
                <w:tcPr>
                  <w:tcW w:w="775" w:type="dxa"/>
                  <w:noWrap w:val="0"/>
                  <w:vAlign w:val="center"/>
                </w:tcPr>
                <w:p>
                  <w:pPr>
                    <w:snapToGrid w:val="0"/>
                    <w:jc w:val="center"/>
                    <w:rPr>
                      <w:rFonts w:hint="eastAsia"/>
                      <w:b/>
                      <w:bCs/>
                      <w:color w:val="auto"/>
                      <w:szCs w:val="21"/>
                    </w:rPr>
                  </w:pPr>
                  <w:r>
                    <w:rPr>
                      <w:rFonts w:hint="eastAsia"/>
                      <w:b/>
                      <w:bCs/>
                      <w:color w:val="auto"/>
                      <w:szCs w:val="21"/>
                      <w:lang w:val="en-US" w:eastAsia="zh-CN"/>
                    </w:rPr>
                    <w:t>夜</w:t>
                  </w:r>
                  <w:r>
                    <w:rPr>
                      <w:rFonts w:hint="eastAsia"/>
                      <w:b/>
                      <w:bCs/>
                      <w:color w:val="auto"/>
                      <w:szCs w:val="21"/>
                    </w:rPr>
                    <w:t>间</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厂界东</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44.33</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44.33</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42.87</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42.87</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70</w:t>
                  </w:r>
                </w:p>
              </w:tc>
              <w:tc>
                <w:tcPr>
                  <w:tcW w:w="74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55</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厂界西</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36.27</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36.27</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04" w:hRule="atLeast"/>
              </w:trPr>
              <w:tc>
                <w:tcPr>
                  <w:tcW w:w="89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厂界北</w:t>
                  </w:r>
                </w:p>
              </w:tc>
              <w:tc>
                <w:tcPr>
                  <w:tcW w:w="829"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24.52</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24.52</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6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51"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szCs w:val="21"/>
                      <w:highlight w:val="none"/>
                      <w:lang w:val="en-US" w:eastAsia="zh-CN"/>
                    </w:rPr>
                    <w:t>达标</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544" w:hRule="atLeast"/>
              </w:trPr>
              <w:tc>
                <w:tcPr>
                  <w:tcW w:w="89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ascii="Times New Roman" w:hAnsi="Times New Roman" w:eastAsia="宋体"/>
                      <w:color w:val="000000" w:themeColor="text1"/>
                      <w:sz w:val="21"/>
                      <w:szCs w:val="21"/>
                      <w14:textFill>
                        <w14:solidFill>
                          <w14:schemeClr w14:val="tx1"/>
                        </w14:solidFill>
                      </w14:textFill>
                    </w:rPr>
                    <w:t>厂界北侧旧城村居民N1</w:t>
                  </w:r>
                </w:p>
              </w:tc>
              <w:tc>
                <w:tcPr>
                  <w:tcW w:w="829"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19.66</w:t>
                  </w:r>
                </w:p>
              </w:tc>
              <w:tc>
                <w:tcPr>
                  <w:tcW w:w="830" w:type="dxa"/>
                  <w:noWrap w:val="0"/>
                  <w:vAlign w:val="center"/>
                </w:tcPr>
                <w:p>
                  <w:pPr>
                    <w:spacing w:line="0" w:lineRule="atLeast"/>
                    <w:jc w:val="center"/>
                    <w:rPr>
                      <w:rFonts w:hint="default" w:cs="Times New Roman"/>
                      <w:color w:val="auto"/>
                      <w:szCs w:val="21"/>
                      <w:highlight w:val="none"/>
                      <w:lang w:val="en-US" w:eastAsia="zh-CN"/>
                    </w:rPr>
                  </w:pPr>
                  <w:r>
                    <w:rPr>
                      <w:rFonts w:hint="eastAsia" w:cs="Times New Roman"/>
                      <w:color w:val="auto"/>
                      <w:szCs w:val="21"/>
                      <w:highlight w:val="none"/>
                      <w:lang w:val="en-US" w:eastAsia="zh-CN"/>
                    </w:rPr>
                    <w:t>19.66</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51</w:t>
                  </w:r>
                </w:p>
              </w:tc>
              <w:tc>
                <w:tcPr>
                  <w:tcW w:w="76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43</w:t>
                  </w:r>
                </w:p>
              </w:tc>
              <w:tc>
                <w:tcPr>
                  <w:tcW w:w="762"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51.00</w:t>
                  </w:r>
                </w:p>
              </w:tc>
              <w:tc>
                <w:tcPr>
                  <w:tcW w:w="751" w:type="dxa"/>
                  <w:noWrap w:val="0"/>
                  <w:vAlign w:val="center"/>
                </w:tcPr>
                <w:p>
                  <w:pPr>
                    <w:spacing w:line="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43.02</w:t>
                  </w:r>
                </w:p>
              </w:tc>
              <w:tc>
                <w:tcPr>
                  <w:tcW w:w="777"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60</w:t>
                  </w:r>
                </w:p>
              </w:tc>
              <w:tc>
                <w:tcPr>
                  <w:tcW w:w="742" w:type="dxa"/>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50</w:t>
                  </w:r>
                </w:p>
              </w:tc>
              <w:tc>
                <w:tcPr>
                  <w:tcW w:w="782"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达标</w:t>
                  </w:r>
                </w:p>
              </w:tc>
              <w:tc>
                <w:tcPr>
                  <w:tcW w:w="775" w:type="dxa"/>
                  <w:shd w:val="clear" w:color="auto" w:fill="auto"/>
                  <w:noWrap w:val="0"/>
                  <w:vAlign w:val="center"/>
                </w:tcPr>
                <w:p>
                  <w:pPr>
                    <w:spacing w:line="0" w:lineRule="atLeast"/>
                    <w:jc w:val="center"/>
                    <w:rPr>
                      <w:rFonts w:hint="eastAsia" w:ascii="Times New Roman" w:hAnsi="Times New Roman" w:eastAsia="宋体" w:cs="Times New Roman"/>
                      <w:color w:val="auto"/>
                      <w:szCs w:val="21"/>
                      <w:highlight w:val="none"/>
                      <w:lang w:val="en-US" w:eastAsia="zh-CN"/>
                    </w:rPr>
                  </w:pPr>
                  <w:r>
                    <w:rPr>
                      <w:rFonts w:hint="eastAsia" w:ascii="Times New Roman" w:hAnsi="Times New Roman" w:eastAsia="宋体" w:cs="Times New Roman"/>
                      <w:color w:val="auto"/>
                      <w:szCs w:val="21"/>
                      <w:highlight w:val="none"/>
                      <w:lang w:val="en-US" w:eastAsia="zh-CN"/>
                    </w:rPr>
                    <w:t>达标</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 w:val="24"/>
                <w:szCs w:val="24"/>
                <w:lang w:val="en-US" w:eastAsia="zh-CN"/>
              </w:rPr>
            </w:pPr>
            <w:r>
              <w:rPr>
                <w:rFonts w:hint="default" w:ascii="Times New Roman" w:hAnsi="Times New Roman" w:eastAsia="宋体" w:cs="Times New Roman"/>
                <w:bCs/>
                <w:color w:val="auto"/>
                <w:spacing w:val="-10"/>
                <w:sz w:val="24"/>
                <w:szCs w:val="24"/>
                <w:lang w:val="en-US" w:eastAsia="zh-CN"/>
              </w:rPr>
              <w:t>（</w:t>
            </w:r>
            <w:r>
              <w:rPr>
                <w:rFonts w:hint="eastAsia" w:cs="Times New Roman"/>
                <w:bCs/>
                <w:color w:val="auto"/>
                <w:spacing w:val="-10"/>
                <w:sz w:val="24"/>
                <w:szCs w:val="24"/>
                <w:lang w:val="en-US" w:eastAsia="zh-CN"/>
              </w:rPr>
              <w:t>3</w:t>
            </w:r>
            <w:r>
              <w:rPr>
                <w:rFonts w:hint="default" w:ascii="Times New Roman" w:hAnsi="Times New Roman" w:eastAsia="宋体" w:cs="Times New Roman"/>
                <w:bCs/>
                <w:color w:val="auto"/>
                <w:spacing w:val="-10"/>
                <w:sz w:val="24"/>
                <w:szCs w:val="24"/>
                <w:lang w:val="en-US" w:eastAsia="zh-CN"/>
              </w:rPr>
              <w:t>）达标情况分析</w:t>
            </w:r>
          </w:p>
          <w:p>
            <w:pPr>
              <w:keepNext w:val="0"/>
              <w:keepLines w:val="0"/>
              <w:pageBreakBefore w:val="0"/>
              <w:widowControl w:val="0"/>
              <w:kinsoku/>
              <w:wordWrap/>
              <w:overflowPunct/>
              <w:topLinePunct w:val="0"/>
              <w:autoSpaceDE/>
              <w:autoSpaceDN/>
              <w:bidi w:val="0"/>
              <w:adjustRightInd w:val="0"/>
              <w:snapToGrid w:val="0"/>
              <w:spacing w:line="360" w:lineRule="auto"/>
              <w:ind w:firstLine="440" w:firstLineChars="200"/>
              <w:jc w:val="both"/>
              <w:textAlignment w:val="auto"/>
              <w:rPr>
                <w:rFonts w:hint="default" w:ascii="Times New Roman" w:hAnsi="Times New Roman" w:eastAsia="宋体" w:cs="Times New Roman"/>
                <w:bCs/>
                <w:color w:val="auto"/>
                <w:spacing w:val="-10"/>
                <w:szCs w:val="21"/>
                <w:lang w:val="en-US" w:eastAsia="zh-CN"/>
              </w:rPr>
            </w:pPr>
            <w:r>
              <w:rPr>
                <w:rFonts w:hint="default" w:ascii="Times New Roman" w:hAnsi="Times New Roman" w:eastAsia="宋体" w:cs="Times New Roman"/>
                <w:bCs/>
                <w:color w:val="auto"/>
                <w:spacing w:val="-10"/>
                <w:sz w:val="24"/>
                <w:szCs w:val="24"/>
                <w:lang w:val="en-US" w:eastAsia="zh-CN"/>
              </w:rPr>
              <w:t>本项目</w:t>
            </w:r>
            <w:r>
              <w:rPr>
                <w:rFonts w:hint="default" w:ascii="Times New Roman" w:hAnsi="Times New Roman" w:cs="Times New Roman"/>
                <w:color w:val="auto"/>
                <w:sz w:val="24"/>
                <w:szCs w:val="24"/>
                <w:lang w:val="en-US" w:eastAsia="zh-CN"/>
              </w:rPr>
              <w:t>清粮筛、输送机、</w:t>
            </w:r>
            <w:r>
              <w:rPr>
                <w:rFonts w:hint="eastAsia" w:cs="Times New Roman"/>
                <w:color w:val="auto"/>
                <w:sz w:val="24"/>
                <w:szCs w:val="24"/>
                <w:lang w:val="en-US" w:eastAsia="zh-CN"/>
              </w:rPr>
              <w:t>提升机、</w:t>
            </w:r>
            <w:r>
              <w:rPr>
                <w:rFonts w:hint="default" w:ascii="Times New Roman" w:hAnsi="Times New Roman" w:cs="Times New Roman"/>
                <w:color w:val="auto"/>
                <w:sz w:val="24"/>
                <w:szCs w:val="24"/>
                <w:lang w:val="en-US" w:eastAsia="zh-CN"/>
              </w:rPr>
              <w:t>风机、烘干塔等</w:t>
            </w:r>
            <w:r>
              <w:rPr>
                <w:rFonts w:hint="eastAsia" w:ascii="Times New Roman" w:hAnsi="Times New Roman" w:cs="Times New Roman"/>
                <w:color w:val="auto"/>
                <w:sz w:val="24"/>
                <w:szCs w:val="24"/>
                <w:lang w:val="en-US" w:eastAsia="zh-CN"/>
              </w:rPr>
              <w:t>已</w:t>
            </w:r>
            <w:r>
              <w:rPr>
                <w:rFonts w:hint="default" w:ascii="Times New Roman" w:hAnsi="Times New Roman" w:eastAsia="宋体" w:cs="Times New Roman"/>
                <w:bCs/>
                <w:color w:val="auto"/>
                <w:spacing w:val="-10"/>
                <w:sz w:val="24"/>
                <w:szCs w:val="24"/>
                <w:lang w:val="en-US" w:eastAsia="zh-CN"/>
              </w:rPr>
              <w:t>选用低噪声设备，</w:t>
            </w:r>
            <w:r>
              <w:rPr>
                <w:rFonts w:hint="default" w:ascii="Times New Roman" w:hAnsi="Times New Roman" w:cs="Times New Roman"/>
                <w:color w:val="auto"/>
                <w:sz w:val="24"/>
                <w:szCs w:val="24"/>
                <w:lang w:val="en-US" w:eastAsia="zh-CN"/>
              </w:rPr>
              <w:t>清粮筛、烘干塔等</w:t>
            </w:r>
            <w:r>
              <w:rPr>
                <w:rFonts w:hint="default" w:ascii="Times New Roman" w:hAnsi="Times New Roman" w:eastAsia="宋体" w:cs="Times New Roman"/>
                <w:bCs/>
                <w:color w:val="auto"/>
                <w:spacing w:val="-10"/>
                <w:sz w:val="24"/>
                <w:szCs w:val="24"/>
                <w:lang w:val="en-US" w:eastAsia="zh-CN"/>
              </w:rPr>
              <w:t>噪声设备装设减振垫，风机进、出风口装设</w:t>
            </w:r>
            <w:r>
              <w:rPr>
                <w:rFonts w:hint="eastAsia" w:cs="Times New Roman"/>
                <w:bCs/>
                <w:color w:val="auto"/>
                <w:spacing w:val="-10"/>
                <w:sz w:val="24"/>
                <w:szCs w:val="24"/>
                <w:lang w:val="en-US" w:eastAsia="zh-CN"/>
              </w:rPr>
              <w:t>消声器</w:t>
            </w:r>
            <w:r>
              <w:rPr>
                <w:rFonts w:hint="default" w:ascii="Times New Roman" w:hAnsi="Times New Roman" w:eastAsia="宋体" w:cs="Times New Roman"/>
                <w:bCs/>
                <w:color w:val="auto"/>
                <w:spacing w:val="-10"/>
                <w:sz w:val="24"/>
                <w:szCs w:val="24"/>
                <w:lang w:val="en-US" w:eastAsia="zh-CN"/>
              </w:rPr>
              <w:t>，再通过厂房隔声等措施，可限制噪声向外传播，对照《工业企业噪声控制设计规范》（GB/T50087-2013）中章节“6.消声设计”及“8.隔振降噪设计”中的内容，空气动力机械进（排）气口敞开的气口装设消声器以及产生较强振动或冲击，引起固体传声及振动辐射噪声的动力设备加装减振垫等隔振措施为可行性技术</w:t>
            </w:r>
            <w:r>
              <w:rPr>
                <w:rFonts w:hint="default" w:ascii="Times New Roman" w:hAnsi="Times New Roman" w:cs="Times New Roman"/>
                <w:color w:val="auto"/>
                <w:sz w:val="24"/>
                <w:szCs w:val="24"/>
                <w:lang w:eastAsia="zh-CN"/>
              </w:rPr>
              <w:t>，</w:t>
            </w:r>
            <w:r>
              <w:rPr>
                <w:rFonts w:hint="default" w:ascii="Times New Roman" w:hAnsi="Times New Roman" w:cs="Times New Roman"/>
                <w:color w:val="auto"/>
                <w:sz w:val="24"/>
                <w:szCs w:val="24"/>
                <w:lang w:val="en-US" w:eastAsia="zh-CN"/>
              </w:rPr>
              <w:t>通过上述措施</w:t>
            </w:r>
            <w:r>
              <w:rPr>
                <w:rFonts w:hint="default" w:ascii="Times New Roman" w:hAnsi="Times New Roman" w:eastAsia="宋体" w:cs="Times New Roman"/>
                <w:bCs/>
                <w:color w:val="auto"/>
                <w:spacing w:val="-10"/>
                <w:sz w:val="24"/>
                <w:szCs w:val="24"/>
                <w:lang w:val="en-US" w:eastAsia="zh-CN"/>
              </w:rPr>
              <w:t>厂界噪声排放可控制在60dB（A）以下，</w:t>
            </w:r>
            <w:r>
              <w:rPr>
                <w:rFonts w:hint="eastAsia" w:ascii="Times New Roman" w:hAnsi="Times New Roman" w:eastAsia="宋体" w:cs="Times New Roman"/>
                <w:bCs/>
                <w:color w:val="auto"/>
                <w:spacing w:val="-10"/>
                <w:sz w:val="24"/>
                <w:szCs w:val="24"/>
                <w:lang w:val="en-US" w:eastAsia="zh-CN"/>
              </w:rPr>
              <w:t>厂界东侧、西侧、北侧</w:t>
            </w:r>
            <w:r>
              <w:rPr>
                <w:rFonts w:hint="default" w:ascii="Times New Roman" w:hAnsi="Times New Roman" w:cs="Times New Roman"/>
                <w:color w:val="auto"/>
                <w:kern w:val="0"/>
                <w:sz w:val="24"/>
                <w:szCs w:val="24"/>
                <w:lang w:val="en-US" w:eastAsia="zh-CN"/>
              </w:rPr>
              <w:t>满足《工业企业厂界噪声排放标准》（GB12348-2008）中</w:t>
            </w:r>
            <w:r>
              <w:rPr>
                <w:rFonts w:hint="eastAsia" w:ascii="Times New Roman" w:hAnsi="Times New Roman" w:cs="Times New Roman"/>
                <w:color w:val="auto"/>
                <w:kern w:val="0"/>
                <w:sz w:val="24"/>
                <w:szCs w:val="24"/>
                <w:lang w:val="en-US" w:eastAsia="zh-CN"/>
              </w:rPr>
              <w:t>2</w:t>
            </w:r>
            <w:r>
              <w:rPr>
                <w:rFonts w:hint="default" w:ascii="Times New Roman" w:hAnsi="Times New Roman" w:cs="Times New Roman"/>
                <w:color w:val="auto"/>
                <w:kern w:val="0"/>
                <w:sz w:val="24"/>
                <w:szCs w:val="24"/>
                <w:lang w:val="en-US" w:eastAsia="zh-CN"/>
              </w:rPr>
              <w:t>类标准要求</w:t>
            </w:r>
            <w:r>
              <w:rPr>
                <w:rFonts w:hint="eastAsia" w:ascii="Times New Roman" w:hAnsi="Times New Roman" w:cs="Times New Roman"/>
                <w:color w:val="auto"/>
                <w:kern w:val="0"/>
                <w:sz w:val="24"/>
                <w:szCs w:val="24"/>
                <w:lang w:val="en-US" w:eastAsia="zh-CN"/>
              </w:rPr>
              <w:t>，厂界南侧满足</w:t>
            </w:r>
            <w:r>
              <w:rPr>
                <w:rFonts w:hint="default" w:ascii="Times New Roman" w:hAnsi="Times New Roman" w:cs="Times New Roman"/>
                <w:color w:val="auto"/>
                <w:kern w:val="0"/>
                <w:sz w:val="24"/>
                <w:szCs w:val="24"/>
                <w:lang w:val="en-US" w:eastAsia="zh-CN"/>
              </w:rPr>
              <w:t>《工业企业厂界噪声排放标准》（GB12348-2008）中</w:t>
            </w:r>
            <w:r>
              <w:rPr>
                <w:rFonts w:hint="eastAsia" w:ascii="Times New Roman" w:hAnsi="Times New Roman" w:cs="Times New Roman"/>
                <w:color w:val="auto"/>
                <w:kern w:val="0"/>
                <w:sz w:val="24"/>
                <w:szCs w:val="24"/>
                <w:lang w:val="en-US" w:eastAsia="zh-CN"/>
              </w:rPr>
              <w:t>4</w:t>
            </w:r>
            <w:r>
              <w:rPr>
                <w:rFonts w:hint="default" w:ascii="Times New Roman" w:hAnsi="Times New Roman" w:cs="Times New Roman"/>
                <w:color w:val="auto"/>
                <w:kern w:val="0"/>
                <w:sz w:val="24"/>
                <w:szCs w:val="24"/>
                <w:lang w:val="en-US" w:eastAsia="zh-CN"/>
              </w:rPr>
              <w:t>类标准要求</w:t>
            </w:r>
            <w:r>
              <w:rPr>
                <w:rFonts w:hint="eastAsia" w:ascii="Times New Roman" w:hAnsi="Times New Roman" w:cs="Times New Roman"/>
                <w:color w:val="auto"/>
                <w:kern w:val="0"/>
                <w:sz w:val="24"/>
                <w:szCs w:val="24"/>
                <w:lang w:val="en-US" w:eastAsia="zh-CN"/>
              </w:rPr>
              <w:t>，声环境敏感目标满足《声环境质量标准》（GB3096-2008）中2类标准要求</w:t>
            </w:r>
            <w:r>
              <w:rPr>
                <w:rFonts w:hint="eastAsia" w:cs="Times New Roman"/>
                <w:color w:val="auto"/>
                <w:kern w:val="0"/>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4</w:t>
            </w:r>
            <w:r>
              <w:rPr>
                <w:rFonts w:hint="default" w:ascii="Times New Roman" w:hAnsi="Times New Roman" w:eastAsia="宋体" w:cs="Times New Roman"/>
                <w:bCs/>
                <w:color w:val="auto"/>
                <w:spacing w:val="-10"/>
                <w:sz w:val="24"/>
                <w:szCs w:val="24"/>
                <w:highlight w:val="none"/>
                <w:lang w:val="en-US" w:eastAsia="zh-CN"/>
              </w:rPr>
              <w:t>）环境噪声监测要求</w:t>
            </w:r>
          </w:p>
          <w:p>
            <w:pPr>
              <w:adjustRightInd w:val="0"/>
              <w:snapToGrid w:val="0"/>
              <w:ind w:firstLine="482"/>
              <w:jc w:val="center"/>
              <w:textAlignment w:val="baseline"/>
              <w:rPr>
                <w:rFonts w:hint="default" w:ascii="Times New Roman" w:hAnsi="Times New Roman" w:cs="Times New Roman"/>
                <w:b/>
                <w:color w:val="auto"/>
                <w:szCs w:val="21"/>
              </w:rPr>
            </w:pPr>
            <w:r>
              <w:rPr>
                <w:rFonts w:hint="default" w:ascii="Times New Roman" w:hAnsi="Times New Roman" w:cs="Times New Roman"/>
                <w:b/>
                <w:color w:val="auto"/>
                <w:szCs w:val="21"/>
              </w:rPr>
              <w:t>表4-</w:t>
            </w:r>
            <w:r>
              <w:rPr>
                <w:rFonts w:hint="eastAsia" w:cs="Times New Roman"/>
                <w:b/>
                <w:color w:val="auto"/>
                <w:szCs w:val="21"/>
                <w:lang w:val="en-US" w:eastAsia="zh-CN"/>
              </w:rPr>
              <w:t>10</w:t>
            </w:r>
            <w:r>
              <w:rPr>
                <w:rFonts w:hint="default" w:ascii="Times New Roman" w:hAnsi="Times New Roman" w:cs="Times New Roman"/>
                <w:b/>
                <w:color w:val="auto"/>
                <w:szCs w:val="21"/>
              </w:rPr>
              <w:t xml:space="preserve">  噪声监测计划一览表</w:t>
            </w:r>
          </w:p>
          <w:tbl>
            <w:tblPr>
              <w:tblStyle w:val="30"/>
              <w:tblW w:w="8651" w:type="dxa"/>
              <w:jc w:val="center"/>
              <w:tblInd w:w="0" w:type="dxa"/>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
            <w:tblGrid>
              <w:gridCol w:w="717"/>
              <w:gridCol w:w="750"/>
              <w:gridCol w:w="1773"/>
              <w:gridCol w:w="818"/>
              <w:gridCol w:w="1800"/>
              <w:gridCol w:w="2793"/>
            </w:tblGrid>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PrEx>
              <w:trPr>
                <w:trHeight w:val="264"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序号</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环境</w:t>
                  </w:r>
                </w:p>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要素</w:t>
                  </w:r>
                </w:p>
              </w:tc>
              <w:tc>
                <w:tcPr>
                  <w:tcW w:w="177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监测点位</w:t>
                  </w:r>
                </w:p>
              </w:tc>
              <w:tc>
                <w:tcPr>
                  <w:tcW w:w="818"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监测指标</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监测频次</w:t>
                  </w:r>
                </w:p>
              </w:tc>
              <w:tc>
                <w:tcPr>
                  <w:tcW w:w="2793"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执行标准</w:t>
                  </w:r>
                </w:p>
              </w:tc>
            </w:tr>
            <w:tr>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fixed"/>
                <w:tblCellMar>
                  <w:top w:w="0" w:type="dxa"/>
                  <w:left w:w="108" w:type="dxa"/>
                  <w:bottom w:w="0" w:type="dxa"/>
                  <w:right w:w="108" w:type="dxa"/>
                </w:tblCellMar>
              </w:tblPrEx>
              <w:trPr>
                <w:trHeight w:val="575" w:hRule="atLeast"/>
                <w:jc w:val="center"/>
              </w:trPr>
              <w:tc>
                <w:tcPr>
                  <w:tcW w:w="717"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1</w:t>
                  </w:r>
                </w:p>
              </w:tc>
              <w:tc>
                <w:tcPr>
                  <w:tcW w:w="75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cs="Times New Roman"/>
                      <w:bCs/>
                      <w:color w:val="auto"/>
                      <w:kern w:val="0"/>
                      <w:szCs w:val="21"/>
                    </w:rPr>
                    <w:t>声环境</w:t>
                  </w:r>
                </w:p>
              </w:tc>
              <w:tc>
                <w:tcPr>
                  <w:tcW w:w="1773" w:type="dxa"/>
                  <w:noWrap w:val="0"/>
                  <w:vAlign w:val="center"/>
                </w:tcPr>
                <w:p>
                  <w:pPr>
                    <w:jc w:val="center"/>
                    <w:rPr>
                      <w:rFonts w:hint="default" w:ascii="Times New Roman" w:hAnsi="Times New Roman" w:eastAsia="宋体" w:cs="Times New Roman"/>
                      <w:bCs/>
                      <w:color w:val="auto"/>
                      <w:kern w:val="0"/>
                      <w:szCs w:val="21"/>
                      <w:lang w:val="en-US" w:eastAsia="zh-CN"/>
                    </w:rPr>
                  </w:pPr>
                  <w:r>
                    <w:rPr>
                      <w:rFonts w:hint="default" w:ascii="Times New Roman" w:hAnsi="Times New Roman" w:cs="Times New Roman"/>
                      <w:bCs/>
                      <w:color w:val="auto"/>
                      <w:kern w:val="0"/>
                      <w:szCs w:val="21"/>
                    </w:rPr>
                    <w:t>厂界四周外1m布设4个点</w:t>
                  </w:r>
                  <w:r>
                    <w:rPr>
                      <w:rFonts w:hint="eastAsia" w:ascii="Times New Roman" w:hAnsi="Times New Roman" w:cs="Times New Roman"/>
                      <w:bCs/>
                      <w:color w:val="auto"/>
                      <w:kern w:val="0"/>
                      <w:szCs w:val="21"/>
                      <w:lang w:eastAsia="zh-CN"/>
                    </w:rPr>
                    <w:t>、</w:t>
                  </w:r>
                  <w:r>
                    <w:rPr>
                      <w:rFonts w:hint="eastAsia" w:ascii="Times New Roman" w:hAnsi="Times New Roman" w:cs="Times New Roman"/>
                      <w:bCs/>
                      <w:color w:val="auto"/>
                      <w:kern w:val="0"/>
                      <w:szCs w:val="21"/>
                      <w:lang w:val="en-US" w:eastAsia="zh-CN"/>
                    </w:rPr>
                    <w:t>声环境敏感目标布设1个点</w:t>
                  </w:r>
                </w:p>
              </w:tc>
              <w:tc>
                <w:tcPr>
                  <w:tcW w:w="818" w:type="dxa"/>
                  <w:noWrap w:val="0"/>
                  <w:vAlign w:val="center"/>
                </w:tcPr>
                <w:p>
                  <w:pPr>
                    <w:jc w:val="center"/>
                    <w:rPr>
                      <w:rFonts w:hint="default" w:ascii="Times New Roman" w:hAnsi="Times New Roman" w:eastAsia="宋体" w:cs="Times New Roman"/>
                      <w:bCs/>
                      <w:color w:val="auto"/>
                      <w:kern w:val="0"/>
                      <w:szCs w:val="21"/>
                      <w:lang w:val="en-US" w:eastAsia="zh-CN"/>
                    </w:rPr>
                  </w:pPr>
                  <w:r>
                    <w:rPr>
                      <w:rFonts w:hint="eastAsia" w:cs="Times New Roman"/>
                      <w:bCs/>
                      <w:color w:val="auto"/>
                      <w:kern w:val="0"/>
                      <w:szCs w:val="21"/>
                      <w:lang w:val="en-US" w:eastAsia="zh-CN"/>
                    </w:rPr>
                    <w:t>等效声级、最大声级</w:t>
                  </w:r>
                </w:p>
              </w:tc>
              <w:tc>
                <w:tcPr>
                  <w:tcW w:w="1800" w:type="dxa"/>
                  <w:noWrap w:val="0"/>
                  <w:vAlign w:val="center"/>
                </w:tcPr>
                <w:p>
                  <w:pPr>
                    <w:jc w:val="center"/>
                    <w:rPr>
                      <w:rFonts w:hint="default" w:ascii="Times New Roman" w:hAnsi="Times New Roman" w:cs="Times New Roman"/>
                      <w:bCs/>
                      <w:color w:val="auto"/>
                      <w:kern w:val="0"/>
                      <w:szCs w:val="21"/>
                    </w:rPr>
                  </w:pPr>
                  <w:r>
                    <w:rPr>
                      <w:rFonts w:hint="default" w:ascii="Times New Roman" w:hAnsi="Times New Roman" w:eastAsia="宋体" w:cs="Times New Roman"/>
                      <w:color w:val="auto"/>
                      <w:kern w:val="0"/>
                      <w:sz w:val="21"/>
                      <w:szCs w:val="21"/>
                      <w:lang w:val="en-US" w:eastAsia="zh-CN" w:bidi="ar"/>
                    </w:rPr>
                    <w:t>1次/季度（生产期）</w:t>
                  </w:r>
                </w:p>
              </w:tc>
              <w:tc>
                <w:tcPr>
                  <w:tcW w:w="2793" w:type="dxa"/>
                  <w:noWrap w:val="0"/>
                  <w:vAlign w:val="center"/>
                </w:tcPr>
                <w:p>
                  <w:pPr>
                    <w:jc w:val="center"/>
                    <w:rPr>
                      <w:rFonts w:hint="default" w:ascii="Times New Roman" w:hAnsi="Times New Roman" w:eastAsia="宋体" w:cs="Times New Roman"/>
                      <w:bCs/>
                      <w:color w:val="auto"/>
                      <w:kern w:val="0"/>
                      <w:szCs w:val="21"/>
                      <w:lang w:eastAsia="zh-CN"/>
                    </w:rPr>
                  </w:pPr>
                  <w:r>
                    <w:rPr>
                      <w:rFonts w:hint="eastAsia"/>
                    </w:rPr>
                    <w:t>厂界东侧、西侧、北侧</w:t>
                  </w:r>
                  <w:r>
                    <w:rPr>
                      <w:rFonts w:hint="eastAsia"/>
                      <w:lang w:val="en-US" w:eastAsia="zh-CN"/>
                    </w:rPr>
                    <w:t>执行</w:t>
                  </w:r>
                  <w:r>
                    <w:rPr>
                      <w:rFonts w:hint="eastAsia"/>
                    </w:rPr>
                    <w:t>《工业企业厂界噪声排放标准》（GB12348-2008）中2类标准要求，厂界南侧</w:t>
                  </w:r>
                  <w:r>
                    <w:rPr>
                      <w:rFonts w:hint="eastAsia"/>
                      <w:lang w:val="en-US" w:eastAsia="zh-CN"/>
                    </w:rPr>
                    <w:t>执行</w:t>
                  </w:r>
                  <w:r>
                    <w:rPr>
                      <w:rFonts w:hint="eastAsia"/>
                    </w:rPr>
                    <w:t>《工业企业厂界噪声排放标准》（GB12348-2008）中4类标准要求，声环境敏感目标</w:t>
                  </w:r>
                  <w:r>
                    <w:rPr>
                      <w:rFonts w:hint="eastAsia"/>
                      <w:lang w:val="en-US" w:eastAsia="zh-CN"/>
                    </w:rPr>
                    <w:t>执行</w:t>
                  </w:r>
                  <w:r>
                    <w:rPr>
                      <w:rFonts w:hint="eastAsia"/>
                    </w:rPr>
                    <w:t>《声环境质量标准》（GB3096-2008）中2类标准要求。</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42" w:firstLineChars="200"/>
              <w:jc w:val="both"/>
              <w:textAlignment w:val="auto"/>
              <w:rPr>
                <w:rFonts w:hint="default" w:ascii="Times New Roman" w:hAnsi="Times New Roman" w:eastAsia="宋体" w:cs="Times New Roman"/>
                <w:b/>
                <w:bCs w:val="0"/>
                <w:color w:val="auto"/>
                <w:spacing w:val="-10"/>
                <w:sz w:val="24"/>
                <w:szCs w:val="24"/>
                <w:lang w:val="en-US" w:eastAsia="zh-CN"/>
              </w:rPr>
            </w:pPr>
            <w:r>
              <w:rPr>
                <w:rFonts w:hint="default" w:ascii="Times New Roman" w:hAnsi="Times New Roman" w:eastAsia="宋体" w:cs="Times New Roman"/>
                <w:b/>
                <w:bCs w:val="0"/>
                <w:color w:val="auto"/>
                <w:spacing w:val="-10"/>
                <w:sz w:val="24"/>
                <w:szCs w:val="24"/>
                <w:lang w:val="en-US" w:eastAsia="zh-CN"/>
              </w:rPr>
              <w:t>4、固体废物</w:t>
            </w:r>
          </w:p>
          <w:p>
            <w:pPr>
              <w:keepNext w:val="0"/>
              <w:keepLines w:val="0"/>
              <w:pageBreakBefore w:val="0"/>
              <w:widowControl w:val="0"/>
              <w:kinsoku/>
              <w:wordWrap/>
              <w:overflowPunct w:val="0"/>
              <w:topLinePunct w:val="0"/>
              <w:bidi w:val="0"/>
              <w:snapToGrid/>
              <w:spacing w:line="360" w:lineRule="auto"/>
              <w:ind w:left="0" w:leftChars="0"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本项目运营期产生的</w:t>
            </w:r>
            <w:r>
              <w:rPr>
                <w:rFonts w:hint="eastAsia" w:cs="Times New Roman"/>
                <w:color w:val="auto"/>
                <w:sz w:val="24"/>
                <w:szCs w:val="24"/>
                <w:highlight w:val="none"/>
                <w:lang w:eastAsia="zh-CN"/>
              </w:rPr>
              <w:t>固体废物</w:t>
            </w:r>
            <w:r>
              <w:rPr>
                <w:rFonts w:hint="default" w:ascii="Times New Roman" w:hAnsi="Times New Roman" w:cs="Times New Roman"/>
                <w:color w:val="auto"/>
                <w:sz w:val="24"/>
                <w:szCs w:val="24"/>
                <w:highlight w:val="none"/>
              </w:rPr>
              <w:t>，一般固废主要包括</w:t>
            </w:r>
            <w:r>
              <w:rPr>
                <w:rFonts w:hint="default" w:ascii="Times New Roman" w:hAnsi="Times New Roman" w:cs="Times New Roman"/>
                <w:color w:val="auto"/>
                <w:sz w:val="24"/>
                <w:szCs w:val="24"/>
                <w:highlight w:val="none"/>
                <w:lang w:eastAsia="zh-CN"/>
              </w:rPr>
              <w:t>：</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cs="Times New Roman"/>
                <w:color w:val="auto"/>
                <w:sz w:val="24"/>
                <w:szCs w:val="24"/>
                <w:highlight w:val="none"/>
              </w:rPr>
              <w:t>热风炉产生的</w:t>
            </w:r>
            <w:r>
              <w:rPr>
                <w:rFonts w:hint="eastAsia" w:cs="Times New Roman"/>
                <w:color w:val="auto"/>
                <w:sz w:val="24"/>
                <w:szCs w:val="24"/>
                <w:highlight w:val="none"/>
                <w:lang w:val="en-US" w:eastAsia="zh-CN"/>
              </w:rPr>
              <w:t>灰渣</w:t>
            </w:r>
            <w:r>
              <w:rPr>
                <w:rFonts w:hint="eastAsia" w:ascii="Times New Roman" w:hAnsi="Times New Roman" w:cs="Times New Roman"/>
                <w:color w:val="auto"/>
                <w:sz w:val="24"/>
                <w:szCs w:val="24"/>
                <w:highlight w:val="none"/>
                <w:lang w:eastAsia="zh-CN"/>
              </w:rPr>
              <w:t>、</w:t>
            </w:r>
            <w:r>
              <w:rPr>
                <w:rFonts w:hint="default" w:ascii="Times New Roman" w:hAnsi="Times New Roman" w:eastAsia="宋体" w:cs="Times New Roman"/>
                <w:bCs/>
                <w:color w:val="auto"/>
                <w:spacing w:val="-10"/>
                <w:sz w:val="24"/>
                <w:szCs w:val="24"/>
                <w:highlight w:val="none"/>
                <w:lang w:val="en-US" w:eastAsia="zh-CN"/>
              </w:rPr>
              <w:t>输送产生的</w:t>
            </w:r>
            <w:r>
              <w:rPr>
                <w:rFonts w:hint="default" w:ascii="Times New Roman" w:hAnsi="Times New Roman" w:cs="Times New Roman"/>
                <w:color w:val="auto"/>
                <w:sz w:val="24"/>
                <w:szCs w:val="24"/>
                <w:highlight w:val="none"/>
                <w:lang w:eastAsia="zh-CN"/>
              </w:rPr>
              <w:t>粉尘</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lang w:val="en-US" w:eastAsia="zh-CN"/>
              </w:rPr>
              <w:t>废布袋</w:t>
            </w:r>
            <w:r>
              <w:rPr>
                <w:rFonts w:hint="default" w:ascii="Times New Roman" w:hAnsi="Times New Roman" w:cs="Times New Roman"/>
                <w:color w:val="auto"/>
                <w:sz w:val="24"/>
                <w:szCs w:val="24"/>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kern w:val="2"/>
                <w:sz w:val="24"/>
                <w:szCs w:val="24"/>
                <w:lang w:val="en-US" w:eastAsia="zh-CN" w:bidi="ar-SA"/>
              </w:rPr>
              <w:t>（1）</w:t>
            </w:r>
            <w:r>
              <w:rPr>
                <w:rFonts w:hint="eastAsia" w:ascii="Times New Roman" w:hAnsi="Times New Roman" w:eastAsia="宋体" w:cs="Times New Roman"/>
                <w:bCs/>
                <w:color w:val="auto"/>
                <w:spacing w:val="-10"/>
                <w:sz w:val="24"/>
                <w:szCs w:val="24"/>
                <w:highlight w:val="none"/>
                <w:lang w:val="en-US" w:eastAsia="zh-CN"/>
              </w:rPr>
              <w:t>筛分</w:t>
            </w:r>
            <w:r>
              <w:rPr>
                <w:rFonts w:hint="default" w:ascii="Times New Roman" w:hAnsi="Times New Roman" w:eastAsia="宋体" w:cs="Times New Roman"/>
                <w:bCs/>
                <w:color w:val="auto"/>
                <w:spacing w:val="-10"/>
                <w:sz w:val="24"/>
                <w:szCs w:val="24"/>
                <w:highlight w:val="none"/>
                <w:lang w:val="en-US" w:eastAsia="zh-CN"/>
              </w:rPr>
              <w:t>清理原粮中的杂质（泥沙）：产生量约</w:t>
            </w:r>
            <w:r>
              <w:rPr>
                <w:rFonts w:hint="eastAsia" w:cs="Times New Roman"/>
                <w:bCs/>
                <w:color w:val="auto"/>
                <w:spacing w:val="-10"/>
                <w:sz w:val="24"/>
                <w:szCs w:val="24"/>
                <w:highlight w:val="none"/>
                <w:lang w:val="en-US" w:eastAsia="zh-CN"/>
              </w:rPr>
              <w:t>1.5</w:t>
            </w:r>
            <w:r>
              <w:rPr>
                <w:rFonts w:hint="default" w:ascii="Times New Roman" w:hAnsi="Times New Roman" w:eastAsia="宋体" w:cs="Times New Roman"/>
                <w:bCs/>
                <w:color w:val="auto"/>
                <w:spacing w:val="-10"/>
                <w:sz w:val="24"/>
                <w:szCs w:val="24"/>
                <w:highlight w:val="none"/>
                <w:lang w:val="en-US" w:eastAsia="zh-CN"/>
              </w:rPr>
              <w:t>t/a，统一收集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w:t>
            </w:r>
            <w:r>
              <w:rPr>
                <w:rFonts w:hint="eastAsia" w:cs="Times New Roman"/>
                <w:color w:val="auto"/>
                <w:sz w:val="24"/>
                <w:szCs w:val="24"/>
                <w:highlight w:val="none"/>
                <w:lang w:val="en-US" w:eastAsia="zh-CN"/>
              </w:rPr>
              <w:t>S80。</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4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（2）</w:t>
            </w:r>
            <w:r>
              <w:rPr>
                <w:rFonts w:hint="default" w:ascii="Times New Roman" w:hAnsi="Times New Roman" w:eastAsia="宋体" w:cs="Times New Roman"/>
                <w:bCs/>
                <w:color w:val="auto"/>
                <w:spacing w:val="-10"/>
                <w:sz w:val="24"/>
                <w:szCs w:val="24"/>
                <w:highlight w:val="none"/>
                <w:lang w:val="en-US" w:eastAsia="zh-CN"/>
              </w:rPr>
              <w:t>本项目</w:t>
            </w:r>
            <w:r>
              <w:rPr>
                <w:rFonts w:hint="eastAsia" w:ascii="Times New Roman" w:hAnsi="Times New Roman" w:eastAsia="宋体" w:cs="Times New Roman"/>
                <w:bCs/>
                <w:color w:val="auto"/>
                <w:spacing w:val="-10"/>
                <w:sz w:val="24"/>
                <w:szCs w:val="24"/>
                <w:highlight w:val="none"/>
                <w:lang w:val="en-US" w:eastAsia="zh-CN"/>
              </w:rPr>
              <w:t>热风炉</w:t>
            </w:r>
            <w:r>
              <w:rPr>
                <w:rFonts w:hint="default" w:ascii="Times New Roman" w:hAnsi="Times New Roman" w:eastAsia="宋体" w:cs="Times New Roman"/>
                <w:bCs/>
                <w:color w:val="auto"/>
                <w:spacing w:val="-10"/>
                <w:sz w:val="24"/>
                <w:szCs w:val="24"/>
                <w:highlight w:val="none"/>
                <w:lang w:val="en-US" w:eastAsia="zh-CN"/>
              </w:rPr>
              <w:t>产生的</w:t>
            </w:r>
            <w:r>
              <w:rPr>
                <w:rFonts w:hint="eastAsia" w:ascii="Times New Roman" w:hAnsi="Times New Roman" w:eastAsia="宋体"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量</w:t>
            </w:r>
            <w:r>
              <w:rPr>
                <w:rFonts w:hint="eastAsia" w:ascii="Times New Roman" w:hAnsi="Times New Roman" w:eastAsia="宋体" w:cs="Times New Roman"/>
                <w:bCs/>
                <w:color w:val="auto"/>
                <w:spacing w:val="-10"/>
                <w:sz w:val="24"/>
                <w:szCs w:val="24"/>
                <w:highlight w:val="none"/>
                <w:lang w:val="en-US" w:eastAsia="zh-CN"/>
              </w:rPr>
              <w:t>参照</w:t>
            </w:r>
            <w:r>
              <w:rPr>
                <w:rFonts w:hint="default" w:ascii="Times New Roman" w:hAnsi="Times New Roman" w:eastAsia="宋体" w:cs="Times New Roman"/>
                <w:bCs/>
                <w:color w:val="auto"/>
                <w:spacing w:val="-10"/>
                <w:sz w:val="24"/>
                <w:szCs w:val="24"/>
                <w:highlight w:val="none"/>
                <w:lang w:val="en-US" w:eastAsia="zh-CN"/>
              </w:rPr>
              <w:t>《污染源源强核算技术指南 锅炉》（HJ 991—2018）中</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8.1.1 物料衡算法</w:t>
            </w:r>
            <w:r>
              <w:rPr>
                <w:rFonts w:hint="eastAsia"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bCs/>
                <w:color w:val="auto"/>
                <w:spacing w:val="-10"/>
                <w:sz w:val="24"/>
                <w:szCs w:val="24"/>
                <w:highlight w:val="none"/>
                <w:lang w:val="en-US" w:eastAsia="zh-CN"/>
              </w:rPr>
              <w:t>进行计算确定，计算公式如下：</w:t>
            </w:r>
          </w:p>
          <w:p>
            <w:pPr>
              <w:pStyle w:val="87"/>
              <w:keepNext w:val="0"/>
              <w:keepLines w:val="0"/>
              <w:pageBreakBefore w:val="0"/>
              <w:kinsoku/>
              <w:wordWrap/>
              <w:overflowPunct/>
              <w:topLinePunct w:val="0"/>
              <w:autoSpaceDE/>
              <w:autoSpaceDN/>
              <w:bidi w:val="0"/>
              <w:spacing w:line="360" w:lineRule="auto"/>
              <w:ind w:left="0" w:leftChars="0" w:right="0" w:rightChars="0" w:firstLine="480" w:firstLineChars="200"/>
              <w:jc w:val="center"/>
              <w:rPr>
                <w:color w:val="auto"/>
                <w:sz w:val="24"/>
                <w:szCs w:val="24"/>
                <w:lang w:eastAsia="en-US"/>
              </w:rPr>
            </w:pPr>
            <w:r>
              <w:rPr>
                <w:color w:val="auto"/>
                <w:position w:val="-28"/>
                <w:sz w:val="24"/>
                <w:szCs w:val="24"/>
              </w:rPr>
              <w:object>
                <v:shape id="_x0000_i1033" o:spt="75" type="#_x0000_t75" style="height:34pt;width:146pt;" o:ole="t" filled="f" o:preferrelative="t" stroked="f" coordsize="21600,21600">
                  <v:path/>
                  <v:fill on="f" focussize="0,0"/>
                  <v:stroke on="f"/>
                  <v:imagedata r:id="rId39" o:title=""/>
                  <o:lock v:ext="edit" aspectratio="t"/>
                  <w10:wrap type="none"/>
                  <w10:anchorlock/>
                </v:shape>
                <o:OLEObject Type="Embed" ProgID="Equation.KSEE3" ShapeID="_x0000_i1033" DrawAspect="Content" ObjectID="_1468075733" r:id="rId38">
                  <o:LockedField>false</o:LockedField>
                </o:OLEObject>
              </w:objec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式中：E</w:t>
            </w:r>
            <w:r>
              <w:rPr>
                <w:bCs/>
                <w:color w:val="auto"/>
                <w:spacing w:val="-10"/>
                <w:sz w:val="24"/>
                <w:szCs w:val="24"/>
                <w:vertAlign w:val="subscript"/>
              </w:rPr>
              <w:t>hz</w:t>
            </w:r>
            <w:r>
              <w:rPr>
                <w:bCs/>
                <w:color w:val="auto"/>
                <w:spacing w:val="-10"/>
                <w:sz w:val="24"/>
                <w:szCs w:val="24"/>
              </w:rPr>
              <w:t>—核算时段内灰渣产生量，t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R—核算时段内</w:t>
            </w:r>
            <w:r>
              <w:rPr>
                <w:rFonts w:hint="eastAsia"/>
                <w:bCs/>
                <w:color w:val="auto"/>
                <w:spacing w:val="-10"/>
                <w:sz w:val="24"/>
                <w:szCs w:val="24"/>
              </w:rPr>
              <w:t>热风</w:t>
            </w:r>
            <w:r>
              <w:rPr>
                <w:bCs/>
                <w:color w:val="auto"/>
                <w:spacing w:val="-10"/>
                <w:sz w:val="24"/>
                <w:szCs w:val="24"/>
              </w:rPr>
              <w:t>炉燃料耗量，</w:t>
            </w:r>
            <w:r>
              <w:rPr>
                <w:rFonts w:hint="eastAsia"/>
                <w:bCs/>
                <w:color w:val="auto"/>
                <w:spacing w:val="-10"/>
                <w:sz w:val="24"/>
                <w:szCs w:val="24"/>
                <w:lang w:val="en-US" w:eastAsia="zh-CN"/>
              </w:rPr>
              <w:t>1250</w:t>
            </w:r>
            <w:r>
              <w:rPr>
                <w:bCs/>
                <w:color w:val="auto"/>
                <w:spacing w:val="-10"/>
                <w:sz w:val="24"/>
                <w:szCs w:val="24"/>
              </w:rPr>
              <w:t>t</w:t>
            </w:r>
            <w:r>
              <w:rPr>
                <w:rFonts w:hint="eastAsia"/>
                <w:bCs/>
                <w:color w:val="auto"/>
                <w:spacing w:val="-10"/>
                <w:sz w:val="24"/>
                <w:szCs w:val="24"/>
                <w:lang w:eastAsia="zh-CN"/>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A</w:t>
            </w:r>
            <w:r>
              <w:rPr>
                <w:bCs/>
                <w:color w:val="auto"/>
                <w:spacing w:val="-10"/>
                <w:sz w:val="24"/>
                <w:szCs w:val="24"/>
                <w:vertAlign w:val="subscript"/>
              </w:rPr>
              <w:t>ar</w:t>
            </w:r>
            <w:r>
              <w:rPr>
                <w:bCs/>
                <w:color w:val="auto"/>
                <w:spacing w:val="-10"/>
                <w:sz w:val="24"/>
                <w:szCs w:val="24"/>
              </w:rPr>
              <w:t>—收到基灰分的质量分数，</w:t>
            </w:r>
            <w:r>
              <w:rPr>
                <w:rFonts w:hint="eastAsia"/>
                <w:bCs/>
                <w:color w:val="auto"/>
                <w:spacing w:val="-10"/>
                <w:sz w:val="24"/>
                <w:szCs w:val="24"/>
                <w:lang w:val="en-US" w:eastAsia="zh-CN"/>
              </w:rPr>
              <w:t>16.33</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net，ar</w:t>
            </w:r>
            <w:r>
              <w:rPr>
                <w:bCs/>
                <w:color w:val="auto"/>
                <w:spacing w:val="-10"/>
                <w:sz w:val="24"/>
                <w:szCs w:val="24"/>
              </w:rPr>
              <w:t>—燃料收到基低位发热量，</w:t>
            </w:r>
            <w:r>
              <w:rPr>
                <w:rFonts w:hint="eastAsia"/>
                <w:bCs/>
                <w:color w:val="auto"/>
                <w:spacing w:val="-10"/>
                <w:sz w:val="24"/>
                <w:szCs w:val="24"/>
                <w:lang w:val="en-US" w:eastAsia="zh-CN"/>
              </w:rPr>
              <w:t>14132K</w:t>
            </w:r>
            <w:r>
              <w:rPr>
                <w:bCs/>
                <w:color w:val="auto"/>
                <w:spacing w:val="-10"/>
                <w:sz w:val="24"/>
                <w:szCs w:val="24"/>
              </w:rPr>
              <w:t>J/</w:t>
            </w:r>
            <w:r>
              <w:rPr>
                <w:rFonts w:hint="eastAsia"/>
                <w:bCs/>
                <w:color w:val="auto"/>
                <w:spacing w:val="-10"/>
                <w:sz w:val="24"/>
                <w:szCs w:val="24"/>
                <w:lang w:eastAsia="zh-CN"/>
              </w:rPr>
              <w:t>kg。</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bCs/>
                <w:color w:val="auto"/>
                <w:spacing w:val="-10"/>
                <w:sz w:val="24"/>
                <w:szCs w:val="24"/>
              </w:rPr>
            </w:pPr>
            <w:r>
              <w:rPr>
                <w:bCs/>
                <w:color w:val="auto"/>
                <w:spacing w:val="-10"/>
                <w:sz w:val="24"/>
                <w:szCs w:val="24"/>
              </w:rPr>
              <w:t>q</w:t>
            </w:r>
            <w:r>
              <w:rPr>
                <w:bCs/>
                <w:color w:val="auto"/>
                <w:spacing w:val="-10"/>
                <w:sz w:val="24"/>
                <w:szCs w:val="24"/>
                <w:vertAlign w:val="subscript"/>
              </w:rPr>
              <w:t>4</w:t>
            </w:r>
            <w:r>
              <w:rPr>
                <w:bCs/>
                <w:color w:val="auto"/>
                <w:spacing w:val="-10"/>
                <w:sz w:val="24"/>
                <w:szCs w:val="24"/>
              </w:rPr>
              <w:t>—锅炉机械不完全燃烧热损失，</w:t>
            </w:r>
            <w:r>
              <w:rPr>
                <w:rFonts w:hint="eastAsia"/>
                <w:bCs/>
                <w:color w:val="auto"/>
                <w:spacing w:val="-10"/>
                <w:sz w:val="24"/>
                <w:szCs w:val="24"/>
                <w:lang w:val="en-US" w:eastAsia="zh-CN"/>
              </w:rPr>
              <w:t>10</w:t>
            </w:r>
            <w:r>
              <w:rPr>
                <w:bCs/>
                <w:color w:val="auto"/>
                <w:spacing w:val="-10"/>
                <w:sz w:val="24"/>
                <w:szCs w:val="24"/>
              </w:rPr>
              <w:t>%</w:t>
            </w:r>
          </w:p>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40" w:firstLineChars="200"/>
              <w:rPr>
                <w:rFonts w:hint="default" w:eastAsia="宋体"/>
                <w:bCs/>
                <w:color w:val="auto"/>
                <w:spacing w:val="-10"/>
                <w:sz w:val="24"/>
                <w:szCs w:val="24"/>
                <w:lang w:val="en-US" w:eastAsia="zh-CN"/>
              </w:rPr>
            </w:pPr>
            <w:r>
              <w:rPr>
                <w:bCs/>
                <w:color w:val="auto"/>
                <w:spacing w:val="-10"/>
                <w:sz w:val="24"/>
                <w:szCs w:val="24"/>
              </w:rPr>
              <w:t>经计算得出年</w:t>
            </w:r>
            <w:r>
              <w:rPr>
                <w:rFonts w:hint="eastAsia"/>
                <w:bCs/>
                <w:color w:val="auto"/>
                <w:spacing w:val="-10"/>
                <w:sz w:val="24"/>
                <w:szCs w:val="24"/>
              </w:rPr>
              <w:t>热风炉</w:t>
            </w:r>
            <w:r>
              <w:rPr>
                <w:bCs/>
                <w:color w:val="auto"/>
                <w:spacing w:val="-10"/>
                <w:sz w:val="24"/>
                <w:szCs w:val="24"/>
              </w:rPr>
              <w:t>灰渣量E</w:t>
            </w:r>
            <w:r>
              <w:rPr>
                <w:bCs/>
                <w:color w:val="auto"/>
                <w:spacing w:val="-10"/>
                <w:sz w:val="24"/>
                <w:szCs w:val="24"/>
                <w:vertAlign w:val="subscript"/>
              </w:rPr>
              <w:t>hz</w:t>
            </w:r>
            <w:r>
              <w:rPr>
                <w:bCs/>
                <w:color w:val="auto"/>
                <w:spacing w:val="-10"/>
                <w:sz w:val="24"/>
                <w:szCs w:val="24"/>
              </w:rPr>
              <w:t>=</w:t>
            </w:r>
            <w:r>
              <w:rPr>
                <w:rFonts w:hint="eastAsia"/>
                <w:bCs/>
                <w:color w:val="auto"/>
                <w:spacing w:val="-10"/>
                <w:sz w:val="24"/>
                <w:szCs w:val="24"/>
                <w:lang w:val="en-US" w:eastAsia="zh-CN"/>
              </w:rPr>
              <w:t>256.25t/a</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rPr>
                <w:rFonts w:hint="default"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color w:val="auto"/>
                <w:sz w:val="24"/>
                <w:szCs w:val="24"/>
                <w:highlight w:val="none"/>
              </w:rPr>
              <w:t>灰渣清理后直接装袋，</w:t>
            </w:r>
            <w:r>
              <w:rPr>
                <w:rFonts w:hint="eastAsia" w:cs="Times New Roman"/>
                <w:color w:val="auto"/>
                <w:sz w:val="24"/>
                <w:szCs w:val="24"/>
                <w:highlight w:val="none"/>
                <w:lang w:val="en-US" w:eastAsia="zh-CN"/>
              </w:rPr>
              <w:t>每日清灰一次，</w:t>
            </w:r>
            <w:r>
              <w:rPr>
                <w:rFonts w:hint="eastAsia" w:ascii="Times New Roman" w:hAnsi="Times New Roman" w:eastAsia="宋体" w:cs="Times New Roman"/>
                <w:color w:val="auto"/>
                <w:sz w:val="24"/>
                <w:szCs w:val="24"/>
                <w:highlight w:val="none"/>
              </w:rPr>
              <w:t>灰渣库临时堆放，</w:t>
            </w:r>
            <w:r>
              <w:rPr>
                <w:rFonts w:hint="default" w:ascii="Times New Roman" w:hAnsi="Times New Roman" w:eastAsia="宋体"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900-001-S0</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left="0" w:firstLine="440" w:firstLineChars="200"/>
              <w:jc w:val="both"/>
              <w:textAlignment w:val="auto"/>
              <w:rPr>
                <w:rFonts w:hint="default" w:ascii="Times New Roman" w:hAnsi="Times New Roman" w:eastAsia="宋体" w:cs="Times New Roman"/>
                <w:color w:val="auto"/>
                <w:sz w:val="24"/>
                <w:szCs w:val="24"/>
                <w:highlight w:val="none"/>
                <w:lang w:eastAsia="zh-CN"/>
              </w:rPr>
            </w:pPr>
            <w:r>
              <w:rPr>
                <w:rFonts w:hint="default" w:ascii="Times New Roman" w:hAnsi="Times New Roman" w:eastAsia="宋体" w:cs="Times New Roman"/>
                <w:bCs/>
                <w:color w:val="auto"/>
                <w:spacing w:val="-10"/>
                <w:sz w:val="24"/>
                <w:szCs w:val="24"/>
                <w:highlight w:val="none"/>
                <w:lang w:val="en-US" w:eastAsia="zh-CN"/>
              </w:rPr>
              <w:t>（</w:t>
            </w:r>
            <w:r>
              <w:rPr>
                <w:rFonts w:hint="eastAsia" w:ascii="Times New Roman" w:hAnsi="Times New Roman" w:eastAsia="宋体" w:cs="Times New Roman"/>
                <w:bCs/>
                <w:color w:val="auto"/>
                <w:spacing w:val="-10"/>
                <w:sz w:val="24"/>
                <w:szCs w:val="24"/>
                <w:highlight w:val="none"/>
                <w:lang w:val="en-US" w:eastAsia="zh-CN"/>
              </w:rPr>
              <w:t>3</w:t>
            </w:r>
            <w:r>
              <w:rPr>
                <w:rFonts w:hint="default" w:ascii="Times New Roman" w:hAnsi="Times New Roman" w:eastAsia="宋体" w:cs="Times New Roman"/>
                <w:bCs/>
                <w:color w:val="auto"/>
                <w:spacing w:val="-10"/>
                <w:sz w:val="24"/>
                <w:szCs w:val="24"/>
                <w:highlight w:val="none"/>
                <w:lang w:val="en-US" w:eastAsia="zh-CN"/>
              </w:rPr>
              <w:t>）装卸、输送</w:t>
            </w:r>
            <w:r>
              <w:rPr>
                <w:rFonts w:hint="eastAsia"/>
                <w:color w:val="auto"/>
                <w:lang w:eastAsia="zh-CN"/>
              </w:rPr>
              <w:t>、</w:t>
            </w:r>
            <w:r>
              <w:rPr>
                <w:rFonts w:hint="eastAsia"/>
                <w:color w:val="auto"/>
                <w:sz w:val="24"/>
                <w:szCs w:val="24"/>
                <w:lang w:eastAsia="zh-CN"/>
              </w:rPr>
              <w:t>烘干塔</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，年回收粉尘量为</w:t>
            </w:r>
            <w:r>
              <w:rPr>
                <w:rFonts w:hint="eastAsia" w:cs="Times New Roman"/>
                <w:bCs/>
                <w:color w:val="auto"/>
                <w:spacing w:val="-10"/>
                <w:sz w:val="24"/>
                <w:szCs w:val="24"/>
                <w:highlight w:val="none"/>
                <w:lang w:val="en-US" w:eastAsia="zh-CN"/>
              </w:rPr>
              <w:t>2.7</w:t>
            </w:r>
            <w:r>
              <w:rPr>
                <w:rFonts w:hint="default" w:ascii="Times New Roman" w:hAnsi="Times New Roman" w:eastAsia="宋体" w:cs="Times New Roman"/>
                <w:bCs/>
                <w:color w:val="auto"/>
                <w:spacing w:val="-10"/>
                <w:sz w:val="24"/>
                <w:szCs w:val="24"/>
                <w:highlight w:val="none"/>
                <w:lang w:val="en-US" w:eastAsia="zh-CN"/>
              </w:rPr>
              <w:t>t/a，集中收集，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default" w:ascii="Times New Roman" w:hAnsi="Times New Roman" w:eastAsia="宋体" w:cs="Times New Roman"/>
                <w:color w:val="auto"/>
                <w:sz w:val="24"/>
                <w:szCs w:val="24"/>
                <w:highlight w:val="none"/>
                <w:lang w:eastAsia="zh-CN"/>
              </w:rPr>
              <w:t>类别代码为</w:t>
            </w:r>
            <w:r>
              <w:rPr>
                <w:rFonts w:hint="default" w:ascii="Times New Roman" w:hAnsi="Times New Roman" w:eastAsia="宋体" w:cs="Times New Roman"/>
                <w:color w:val="auto"/>
                <w:sz w:val="24"/>
                <w:szCs w:val="24"/>
                <w:highlight w:val="none"/>
                <w:lang w:val="en-US" w:eastAsia="zh-CN"/>
              </w:rPr>
              <w:t>010-099-S80</w:t>
            </w:r>
            <w:r>
              <w:rPr>
                <w:rFonts w:hint="default" w:ascii="Times New Roman" w:hAnsi="Times New Roman" w:eastAsia="宋体" w:cs="Times New Roman"/>
                <w:color w:val="auto"/>
                <w:sz w:val="24"/>
                <w:szCs w:val="24"/>
                <w:highlight w:val="none"/>
                <w:lang w:eastAsia="zh-CN"/>
              </w:rPr>
              <w:t>。</w:t>
            </w:r>
          </w:p>
          <w:p>
            <w:pPr>
              <w:keepNext w:val="0"/>
              <w:keepLines w:val="0"/>
              <w:pageBreakBefore w:val="0"/>
              <w:widowControl w:val="0"/>
              <w:tabs>
                <w:tab w:val="left" w:pos="1848"/>
                <w:tab w:val="left" w:pos="6061"/>
                <w:tab w:val="left" w:pos="8665"/>
              </w:tabs>
              <w:kinsoku/>
              <w:wordWrap/>
              <w:overflowPunct/>
              <w:topLinePunct w:val="0"/>
              <w:autoSpaceDE/>
              <w:autoSpaceDN/>
              <w:bidi w:val="0"/>
              <w:adjustRightInd w:val="0"/>
              <w:snapToGrid w:val="0"/>
              <w:spacing w:beforeAutospacing="0" w:afterAutospacing="0" w:line="360" w:lineRule="auto"/>
              <w:ind w:left="0" w:leftChars="0" w:right="0" w:righ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w:t>
            </w:r>
            <w:r>
              <w:rPr>
                <w:rFonts w:hint="eastAsia" w:cs="Times New Roman"/>
                <w:color w:val="auto"/>
                <w:kern w:val="2"/>
                <w:sz w:val="24"/>
                <w:szCs w:val="24"/>
                <w:highlight w:val="none"/>
                <w:lang w:val="en-US" w:eastAsia="zh-CN" w:bidi="ar-SA"/>
              </w:rPr>
              <w:t>4</w:t>
            </w:r>
            <w:r>
              <w:rPr>
                <w:rFonts w:hint="eastAsia" w:ascii="Times New Roman" w:hAnsi="Times New Roman" w:eastAsia="宋体" w:cs="Times New Roman"/>
                <w:color w:val="auto"/>
                <w:kern w:val="2"/>
                <w:sz w:val="24"/>
                <w:szCs w:val="24"/>
                <w:highlight w:val="none"/>
                <w:lang w:val="en-US" w:eastAsia="zh-CN" w:bidi="ar-SA"/>
              </w:rPr>
              <w:t>）废布袋</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本项目热风炉环保措施采用布袋除尘器，布袋</w:t>
            </w:r>
            <w:r>
              <w:rPr>
                <w:rFonts w:hint="eastAsia" w:cs="Times New Roman"/>
                <w:color w:val="auto"/>
                <w:kern w:val="2"/>
                <w:sz w:val="24"/>
                <w:szCs w:val="24"/>
                <w:highlight w:val="none"/>
                <w:lang w:val="en-US" w:eastAsia="zh-CN" w:bidi="ar-SA"/>
              </w:rPr>
              <w:t>每</w:t>
            </w:r>
            <w:r>
              <w:rPr>
                <w:rFonts w:hint="eastAsia" w:ascii="Times New Roman" w:hAnsi="Times New Roman" w:eastAsia="宋体" w:cs="Times New Roman"/>
                <w:color w:val="auto"/>
                <w:kern w:val="2"/>
                <w:sz w:val="24"/>
                <w:szCs w:val="24"/>
                <w:highlight w:val="none"/>
                <w:lang w:val="en-US" w:eastAsia="zh-CN" w:bidi="ar-SA"/>
              </w:rPr>
              <w:t>年换一次，产生废布袋0.02t/a，由除尘器厂家检修后直接带走</w:t>
            </w:r>
            <w:r>
              <w:rPr>
                <w:rFonts w:hint="eastAsia" w:cs="Times New Roman"/>
                <w:color w:val="auto"/>
                <w:kern w:val="2"/>
                <w:sz w:val="24"/>
                <w:szCs w:val="24"/>
                <w:highlight w:val="none"/>
                <w:lang w:val="en-US" w:eastAsia="zh-CN" w:bidi="ar-SA"/>
              </w:rPr>
              <w:t>，</w:t>
            </w:r>
            <w:r>
              <w:rPr>
                <w:rFonts w:hint="default" w:ascii="Times New Roman" w:hAnsi="Times New Roman" w:eastAsia="宋体" w:cs="Times New Roman"/>
                <w:color w:val="auto"/>
                <w:sz w:val="24"/>
                <w:szCs w:val="24"/>
                <w:highlight w:val="none"/>
                <w:lang w:eastAsia="zh-CN"/>
              </w:rPr>
              <w:t>类别代码为</w:t>
            </w:r>
            <w:r>
              <w:rPr>
                <w:rFonts w:hint="eastAsia" w:ascii="Times New Roman" w:hAnsi="Times New Roman" w:eastAsia="宋体" w:cs="Times New Roman"/>
                <w:color w:val="auto"/>
                <w:kern w:val="2"/>
                <w:sz w:val="24"/>
                <w:szCs w:val="24"/>
                <w:highlight w:val="none"/>
                <w:lang w:val="en-US" w:eastAsia="zh-CN" w:bidi="ar-SA"/>
              </w:rPr>
              <w:t>900-009-S59。</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（5）不合格粮食</w:t>
            </w:r>
          </w:p>
          <w:p>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本项目粮食烘干后仍会有不合格粮食，不合格粮食产生量为1t/a，外售给周边农户。代码为</w:t>
            </w:r>
            <w:r>
              <w:rPr>
                <w:rFonts w:hint="default" w:ascii="Times New Roman" w:hAnsi="Times New Roman" w:eastAsia="宋体" w:cs="Times New Roman"/>
                <w:color w:val="auto"/>
                <w:sz w:val="24"/>
                <w:szCs w:val="24"/>
                <w:highlight w:val="none"/>
                <w:lang w:val="en-US" w:eastAsia="zh-CN"/>
              </w:rPr>
              <w:t>010-099-S80</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bCs/>
                <w:color w:val="auto"/>
                <w:spacing w:val="-10"/>
                <w:kern w:val="2"/>
                <w:sz w:val="24"/>
                <w:szCs w:val="24"/>
                <w:highlight w:val="none"/>
                <w:lang w:val="en-US" w:eastAsia="zh-CN" w:bidi="ar-SA"/>
              </w:rPr>
            </w:pPr>
            <w:r>
              <w:rPr>
                <w:rFonts w:hint="default" w:ascii="Times New Roman" w:hAnsi="Times New Roman" w:eastAsia="宋体" w:cs="Times New Roman"/>
                <w:bCs/>
                <w:color w:val="auto"/>
                <w:spacing w:val="-10"/>
                <w:kern w:val="2"/>
                <w:sz w:val="24"/>
                <w:szCs w:val="24"/>
                <w:highlight w:val="none"/>
                <w:lang w:val="en-US" w:eastAsia="zh-CN" w:bidi="ar-SA"/>
              </w:rPr>
              <w:t>本项目固体废物处置率100%，对外环境影响较小。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固体废物产生情况见表</w:t>
            </w:r>
            <w:r>
              <w:rPr>
                <w:rFonts w:hint="default" w:ascii="Times New Roman" w:hAnsi="Times New Roman" w:eastAsia="宋体" w:cs="Times New Roman"/>
                <w:color w:val="auto"/>
                <w:sz w:val="24"/>
                <w:highlight w:val="none"/>
                <w:lang w:val="en-US" w:eastAsia="zh-CN"/>
              </w:rPr>
              <w:t>4</w:t>
            </w:r>
            <w:r>
              <w:rPr>
                <w:rFonts w:hint="default" w:ascii="Times New Roman" w:hAnsi="Times New Roman" w:eastAsia="宋体" w:cs="Times New Roman"/>
                <w:color w:val="auto"/>
                <w:sz w:val="24"/>
                <w:highlight w:val="none"/>
              </w:rPr>
              <w:t>-</w:t>
            </w:r>
            <w:r>
              <w:rPr>
                <w:rFonts w:hint="eastAsia" w:cs="Times New Roman"/>
                <w:color w:val="auto"/>
                <w:sz w:val="24"/>
                <w:highlight w:val="none"/>
                <w:lang w:val="en-US" w:eastAsia="zh-CN"/>
              </w:rPr>
              <w:t>11</w:t>
            </w:r>
            <w:r>
              <w:rPr>
                <w:rFonts w:hint="default" w:ascii="Times New Roman" w:hAnsi="Times New Roman" w:eastAsia="宋体" w:cs="Times New Roman"/>
                <w:color w:val="auto"/>
                <w:sz w:val="24"/>
                <w:highlight w:val="none"/>
              </w:rPr>
              <w:t>。</w:t>
            </w:r>
          </w:p>
          <w:p>
            <w:pPr>
              <w:pStyle w:val="83"/>
              <w:keepNext w:val="0"/>
              <w:keepLines w:val="0"/>
              <w:pageBreakBefore w:val="0"/>
              <w:widowControl w:val="0"/>
              <w:tabs>
                <w:tab w:val="clear" w:pos="605"/>
              </w:tabs>
              <w:kinsoku/>
              <w:wordWrap/>
              <w:overflowPunct/>
              <w:topLinePunct w:val="0"/>
              <w:autoSpaceDE/>
              <w:autoSpaceDN/>
              <w:bidi w:val="0"/>
              <w:adjustRightInd w:val="0"/>
              <w:snapToGrid w:val="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表4-</w:t>
            </w:r>
            <w:r>
              <w:rPr>
                <w:rFonts w:hint="eastAsia" w:eastAsia="宋体" w:cs="Times New Roman"/>
                <w:color w:val="auto"/>
                <w:sz w:val="21"/>
                <w:szCs w:val="21"/>
                <w:highlight w:val="none"/>
                <w:lang w:val="en-US" w:eastAsia="zh-CN"/>
              </w:rPr>
              <w:t>11</w:t>
            </w:r>
            <w:r>
              <w:rPr>
                <w:rFonts w:hint="default" w:ascii="Times New Roman" w:hAnsi="Times New Roman" w:eastAsia="宋体" w:cs="Times New Roman"/>
                <w:color w:val="auto"/>
                <w:sz w:val="21"/>
                <w:szCs w:val="21"/>
                <w:highlight w:val="none"/>
                <w:lang w:val="en-US" w:eastAsia="zh-CN"/>
              </w:rPr>
              <w:t xml:space="preserve"> 固体废物污染源源强核算结果及相关参数一览表</w:t>
            </w:r>
          </w:p>
          <w:tbl>
            <w:tblPr>
              <w:tblStyle w:val="30"/>
              <w:tblW w:w="7686" w:type="dxa"/>
              <w:jc w:val="center"/>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41"/>
              <w:gridCol w:w="1295"/>
              <w:gridCol w:w="1075"/>
              <w:gridCol w:w="1225"/>
              <w:gridCol w:w="1263"/>
              <w:gridCol w:w="1687"/>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固废属性</w:t>
                  </w:r>
                </w:p>
              </w:tc>
              <w:tc>
                <w:tcPr>
                  <w:tcW w:w="1295"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固体废物名称</w:t>
                  </w:r>
                </w:p>
              </w:tc>
              <w:tc>
                <w:tcPr>
                  <w:tcW w:w="230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w:t>
                  </w:r>
                </w:p>
              </w:tc>
              <w:tc>
                <w:tcPr>
                  <w:tcW w:w="2950" w:type="dxa"/>
                  <w:gridSpan w:val="2"/>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处置措施</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88"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480"/>
                    <w:jc w:val="center"/>
                    <w:textAlignment w:val="auto"/>
                    <w:rPr>
                      <w:rFonts w:hint="default" w:ascii="Times New Roman" w:hAnsi="Times New Roman" w:eastAsia="宋体" w:cs="Times New Roman"/>
                      <w:color w:val="auto"/>
                      <w:sz w:val="21"/>
                      <w:szCs w:val="21"/>
                      <w:highlight w:val="none"/>
                      <w:lang w:val="en-US" w:eastAsia="zh-CN"/>
                    </w:rPr>
                  </w:pP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核算方法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产生量（t/a）</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处置量（t/a）</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工艺</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140" w:hRule="atLeast"/>
                <w:jc w:val="center"/>
              </w:trPr>
              <w:tc>
                <w:tcPr>
                  <w:tcW w:w="1141" w:type="dxa"/>
                  <w:vMerge w:val="restart"/>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一般工业固体废物</w:t>
                  </w: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粉尘</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2.7</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45"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沙泥</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1.5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市政部门处置</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灰渣</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256.25</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废布袋</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0.02</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厂家回收</w:t>
                  </w:r>
                </w:p>
              </w:tc>
            </w:tr>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Ex>
              <w:trPr>
                <w:trHeight w:val="221" w:hRule="atLeast"/>
                <w:jc w:val="center"/>
              </w:trPr>
              <w:tc>
                <w:tcPr>
                  <w:tcW w:w="1141" w:type="dxa"/>
                  <w:vMerge w:val="continue"/>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p>
              </w:tc>
              <w:tc>
                <w:tcPr>
                  <w:tcW w:w="129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不合格粮食</w:t>
                  </w:r>
                </w:p>
              </w:tc>
              <w:tc>
                <w:tcPr>
                  <w:tcW w:w="107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类比法</w:t>
                  </w:r>
                </w:p>
              </w:tc>
              <w:tc>
                <w:tcPr>
                  <w:tcW w:w="1225"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263"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w:t>
                  </w:r>
                </w:p>
              </w:tc>
              <w:tc>
                <w:tcPr>
                  <w:tcW w:w="1687" w:type="dxa"/>
                  <w:tcBorders>
                    <w:tl2br w:val="nil"/>
                    <w:tr2bl w:val="nil"/>
                  </w:tcBorders>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集中收集</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外售</w:t>
                  </w:r>
                  <w:r>
                    <w:rPr>
                      <w:rFonts w:hint="default" w:ascii="Times New Roman" w:hAnsi="Times New Roman" w:eastAsia="宋体" w:cs="Times New Roman"/>
                      <w:color w:val="auto"/>
                      <w:sz w:val="21"/>
                      <w:szCs w:val="21"/>
                      <w:highlight w:val="none"/>
                      <w:lang w:eastAsia="zh-CN"/>
                    </w:rPr>
                    <w:t>综合利用</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440" w:firstLineChars="200"/>
              <w:jc w:val="both"/>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bCs/>
                <w:color w:val="auto"/>
                <w:spacing w:val="-10"/>
                <w:kern w:val="2"/>
                <w:sz w:val="24"/>
                <w:szCs w:val="24"/>
                <w:highlight w:val="none"/>
                <w:lang w:val="en-US" w:eastAsia="zh-CN" w:bidi="ar-SA"/>
              </w:rPr>
              <w:t>综上所述，本项目产生的所有固废均得到了妥善</w:t>
            </w:r>
            <w:r>
              <w:rPr>
                <w:rFonts w:hint="eastAsia" w:cs="Times New Roman"/>
                <w:bCs/>
                <w:color w:val="auto"/>
                <w:spacing w:val="-10"/>
                <w:kern w:val="2"/>
                <w:sz w:val="24"/>
                <w:szCs w:val="24"/>
                <w:highlight w:val="none"/>
                <w:lang w:val="en-US" w:eastAsia="zh-CN" w:bidi="ar-SA"/>
              </w:rPr>
              <w:t>地</w:t>
            </w:r>
            <w:r>
              <w:rPr>
                <w:rFonts w:hint="eastAsia" w:ascii="Times New Roman" w:hAnsi="Times New Roman" w:eastAsia="宋体" w:cs="Times New Roman"/>
                <w:bCs/>
                <w:color w:val="auto"/>
                <w:spacing w:val="-10"/>
                <w:kern w:val="2"/>
                <w:sz w:val="24"/>
                <w:szCs w:val="24"/>
                <w:highlight w:val="none"/>
                <w:lang w:val="en-US" w:eastAsia="zh-CN" w:bidi="ar-SA"/>
              </w:rPr>
              <w:t>处理和应用，对固体废物全部按国家要求进行了处理处置，固体废物处理处置率达到100%，因此，对外环境影响较小。</w:t>
            </w:r>
          </w:p>
        </w:tc>
      </w:tr>
    </w:tbl>
    <w:p>
      <w:pPr>
        <w:adjustRightInd w:val="0"/>
        <w:snapToGrid w:val="0"/>
        <w:spacing w:line="360" w:lineRule="auto"/>
        <w:rPr>
          <w:rFonts w:hint="default" w:ascii="Times New Roman" w:hAnsi="Times New Roman" w:cs="Times New Roman"/>
          <w:b/>
          <w:color w:val="auto"/>
          <w:kern w:val="0"/>
          <w:sz w:val="28"/>
          <w:szCs w:val="28"/>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jc w:val="center"/>
        <w:outlineLvl w:val="0"/>
        <w:rPr>
          <w:rFonts w:hint="default" w:ascii="Times New Roman" w:hAnsi="Times New Roman" w:eastAsia="黑体" w:cs="Times New Roman"/>
          <w:snapToGrid w:val="0"/>
          <w:color w:val="auto"/>
          <w:sz w:val="30"/>
          <w:szCs w:val="30"/>
        </w:rPr>
      </w:pPr>
      <w:bookmarkStart w:id="37" w:name="_Toc27063"/>
      <w:bookmarkStart w:id="38" w:name="_Toc12807"/>
      <w:r>
        <w:rPr>
          <w:rFonts w:hint="default" w:ascii="Times New Roman" w:hAnsi="Times New Roman" w:eastAsia="黑体" w:cs="Times New Roman"/>
          <w:snapToGrid w:val="0"/>
          <w:color w:val="auto"/>
          <w:sz w:val="30"/>
          <w:szCs w:val="30"/>
        </w:rPr>
        <w:t>五、</w:t>
      </w:r>
      <w:bookmarkStart w:id="39" w:name="_Hlk54167917"/>
      <w:r>
        <w:rPr>
          <w:rFonts w:hint="default" w:ascii="Times New Roman" w:hAnsi="Times New Roman" w:eastAsia="黑体" w:cs="Times New Roman"/>
          <w:snapToGrid w:val="0"/>
          <w:color w:val="auto"/>
          <w:sz w:val="30"/>
          <w:szCs w:val="30"/>
        </w:rPr>
        <w:t>环境保护措施监督检查清单</w:t>
      </w:r>
      <w:bookmarkEnd w:id="37"/>
      <w:bookmarkEnd w:id="38"/>
      <w:bookmarkEnd w:id="39"/>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811"/>
        <w:gridCol w:w="1527"/>
        <w:gridCol w:w="2682"/>
        <w:gridCol w:w="192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425" w:hRule="atLeast"/>
          <w:jc w:val="center"/>
        </w:trPr>
        <w:tc>
          <w:tcPr>
            <w:tcW w:w="1693" w:type="dxa"/>
            <w:tcBorders>
              <w:tl2br w:val="single" w:color="auto" w:sz="4" w:space="0"/>
            </w:tcBorders>
            <w:noWrap w:val="0"/>
            <w:vAlign w:val="top"/>
          </w:tcPr>
          <w:p>
            <w:pPr>
              <w:adjustRightInd w:val="0"/>
              <w:snapToGrid w:val="0"/>
              <w:ind w:firstLine="720" w:firstLineChars="30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内容</w:t>
            </w:r>
          </w:p>
          <w:p>
            <w:pPr>
              <w:adjustRightInd w:val="0"/>
              <w:snapToGrid w:val="0"/>
              <w:rPr>
                <w:rFonts w:hint="default" w:ascii="Times New Roman" w:hAnsi="Times New Roman" w:cs="Times New Roman"/>
                <w:color w:val="auto"/>
                <w:sz w:val="24"/>
                <w:szCs w:val="24"/>
              </w:rPr>
            </w:pPr>
            <w:r>
              <w:rPr>
                <w:rFonts w:hint="default" w:ascii="Times New Roman" w:hAnsi="Times New Roman" w:cs="Times New Roman"/>
                <w:color w:val="auto"/>
                <w:sz w:val="24"/>
                <w:szCs w:val="24"/>
              </w:rPr>
              <w:t>要素</w:t>
            </w:r>
          </w:p>
        </w:tc>
        <w:tc>
          <w:tcPr>
            <w:tcW w:w="1811"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排放口(编号、</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名称)/污染源</w:t>
            </w:r>
          </w:p>
        </w:tc>
        <w:tc>
          <w:tcPr>
            <w:tcW w:w="1527"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污染物项目</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环境保护措施</w:t>
            </w:r>
          </w:p>
        </w:tc>
        <w:tc>
          <w:tcPr>
            <w:tcW w:w="1925"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41" w:hRule="atLeast"/>
          <w:jc w:val="center"/>
        </w:trPr>
        <w:tc>
          <w:tcPr>
            <w:tcW w:w="1693" w:type="dxa"/>
            <w:vMerge w:val="restart"/>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大气环境</w:t>
            </w:r>
          </w:p>
        </w:tc>
        <w:tc>
          <w:tcPr>
            <w:tcW w:w="1811" w:type="dxa"/>
            <w:shd w:val="clear" w:color="auto" w:fill="auto"/>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装卸、筛分、输送</w:t>
            </w:r>
            <w:r>
              <w:rPr>
                <w:rFonts w:hint="eastAsia" w:ascii="Times New Roman" w:hAnsi="Times New Roman" w:eastAsia="宋体" w:cs="Times New Roman"/>
                <w:color w:val="auto"/>
                <w:sz w:val="24"/>
                <w:szCs w:val="24"/>
                <w:lang w:val="en-US" w:eastAsia="zh-CN"/>
              </w:rPr>
              <w:t>、</w:t>
            </w:r>
            <w:r>
              <w:rPr>
                <w:rFonts w:hint="eastAsia"/>
                <w:color w:val="auto"/>
                <w:sz w:val="24"/>
                <w:szCs w:val="24"/>
                <w:lang w:eastAsia="zh-CN"/>
              </w:rPr>
              <w:t>烘干塔</w:t>
            </w:r>
            <w:r>
              <w:rPr>
                <w:rFonts w:hint="default" w:ascii="Times New Roman" w:hAnsi="Times New Roman" w:eastAsia="宋体" w:cs="Times New Roman"/>
                <w:color w:val="auto"/>
                <w:sz w:val="24"/>
                <w:szCs w:val="24"/>
                <w:lang w:val="en-US" w:eastAsia="zh-CN"/>
              </w:rPr>
              <w:t>等过程</w:t>
            </w:r>
          </w:p>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（无组织）</w:t>
            </w:r>
          </w:p>
        </w:tc>
        <w:tc>
          <w:tcPr>
            <w:tcW w:w="1527"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颗粒物</w:t>
            </w:r>
          </w:p>
        </w:tc>
        <w:tc>
          <w:tcPr>
            <w:tcW w:w="2682" w:type="dxa"/>
            <w:shd w:val="clear" w:color="auto" w:fill="auto"/>
            <w:noWrap w:val="0"/>
            <w:vAlign w:val="center"/>
          </w:tcPr>
          <w:p>
            <w:pPr>
              <w:jc w:val="center"/>
              <w:rPr>
                <w:rFonts w:hint="default" w:ascii="Times New Roman" w:hAnsi="Times New Roman" w:eastAsia="宋体" w:cs="Times New Roman"/>
                <w:caps w:val="0"/>
                <w:smallCaps w:val="0"/>
                <w:snapToGrid w:val="0"/>
                <w:color w:val="auto"/>
                <w:kern w:val="0"/>
                <w:sz w:val="24"/>
                <w:szCs w:val="24"/>
                <w:highlight w:val="none"/>
                <w:lang w:val="en-US" w:eastAsia="zh-CN" w:bidi="ar-SA"/>
              </w:rPr>
            </w:pPr>
            <w:r>
              <w:rPr>
                <w:rFonts w:hint="default" w:ascii="Times New Roman" w:hAnsi="Times New Roman" w:eastAsia="宋体" w:cs="Times New Roman"/>
                <w:caps w:val="0"/>
                <w:smallCaps w:val="0"/>
                <w:snapToGrid w:val="0"/>
                <w:color w:val="auto"/>
                <w:kern w:val="0"/>
                <w:sz w:val="24"/>
                <w:szCs w:val="24"/>
                <w:highlight w:val="none"/>
                <w:lang w:val="en-US" w:eastAsia="zh-CN" w:bidi="ar-SA"/>
              </w:rPr>
              <w:t>粮食仓库封闭，封闭传送带，装卸区设置遮挡设施，</w:t>
            </w:r>
            <w:r>
              <w:rPr>
                <w:rFonts w:hint="default" w:ascii="Times New Roman" w:hAnsi="Times New Roman" w:cs="Times New Roman"/>
                <w:color w:val="auto"/>
                <w:sz w:val="24"/>
                <w:szCs w:val="24"/>
                <w:lang w:val="en-US" w:eastAsia="zh-CN"/>
              </w:rPr>
              <w:t>采用封闭式清理筛，</w:t>
            </w:r>
            <w:r>
              <w:rPr>
                <w:rFonts w:hint="eastAsia" w:ascii="Times New Roman" w:hAnsi="Times New Roman" w:eastAsia="宋体" w:cs="Times New Roman"/>
                <w:b w:val="0"/>
                <w:bCs w:val="0"/>
                <w:i w:val="0"/>
                <w:iCs w:val="0"/>
                <w:color w:val="auto"/>
                <w:spacing w:val="0"/>
                <w:kern w:val="0"/>
                <w:sz w:val="24"/>
                <w:szCs w:val="24"/>
                <w:lang w:val="en-US" w:eastAsia="zh-CN"/>
              </w:rPr>
              <w:t>烘干塔体两侧排气孔设置折流挡板</w:t>
            </w:r>
          </w:p>
        </w:tc>
        <w:tc>
          <w:tcPr>
            <w:tcW w:w="1925" w:type="dxa"/>
            <w:shd w:val="clear" w:color="auto" w:fill="auto"/>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《大气污染物综合排放标准》（GB16297-1996）表2中无组织排放浓度监控限值要求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52"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restart"/>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DA001</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热风炉烟囱</w:t>
            </w:r>
          </w:p>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（有组织）</w:t>
            </w:r>
          </w:p>
        </w:tc>
        <w:tc>
          <w:tcPr>
            <w:tcW w:w="1527" w:type="dxa"/>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颗粒物</w:t>
            </w:r>
          </w:p>
        </w:tc>
        <w:tc>
          <w:tcPr>
            <w:tcW w:w="2682"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eastAsia" w:cs="Times New Roman"/>
                <w:color w:val="auto"/>
                <w:sz w:val="24"/>
                <w:szCs w:val="24"/>
                <w:lang w:val="en-US" w:eastAsia="zh-CN"/>
              </w:rPr>
              <w:t>采用低氮燃烧技术+</w:t>
            </w:r>
            <w:r>
              <w:rPr>
                <w:rFonts w:hint="default" w:ascii="Times New Roman" w:hAnsi="Times New Roman" w:cs="Times New Roman"/>
                <w:color w:val="auto"/>
                <w:sz w:val="24"/>
                <w:szCs w:val="24"/>
                <w:lang w:val="en-US" w:eastAsia="zh-CN"/>
              </w:rPr>
              <w:t>布袋除尘器</w:t>
            </w:r>
            <w:r>
              <w:rPr>
                <w:rFonts w:hint="eastAsia" w:cs="Times New Roman"/>
                <w:color w:val="auto"/>
                <w:sz w:val="24"/>
                <w:szCs w:val="24"/>
                <w:lang w:val="en-US" w:eastAsia="zh-CN"/>
              </w:rPr>
              <w:t>+</w:t>
            </w:r>
            <w:r>
              <w:rPr>
                <w:rFonts w:hint="default" w:ascii="Times New Roman" w:hAnsi="Times New Roman" w:cs="Times New Roman"/>
                <w:color w:val="auto"/>
                <w:sz w:val="24"/>
                <w:szCs w:val="24"/>
                <w:lang w:val="en-US" w:eastAsia="zh-CN"/>
              </w:rPr>
              <w:t>15m高烟囱</w:t>
            </w:r>
          </w:p>
        </w:tc>
        <w:tc>
          <w:tcPr>
            <w:tcW w:w="1925" w:type="dxa"/>
            <w:vMerge w:val="restart"/>
            <w:noWrap w:val="0"/>
            <w:vAlign w:val="center"/>
          </w:tcPr>
          <w:p>
            <w:pPr>
              <w:adjustRightInd w:val="0"/>
              <w:snapToGrid w:val="0"/>
              <w:jc w:val="center"/>
              <w:rPr>
                <w:rFonts w:hint="default" w:ascii="Times New Roman" w:hAnsi="Times New Roman" w:eastAsia="宋体" w:cs="Times New Roman"/>
                <w:color w:val="auto"/>
                <w:kern w:val="2"/>
                <w:sz w:val="24"/>
                <w:szCs w:val="24"/>
                <w:lang w:val="en-US" w:eastAsia="zh-CN" w:bidi="ar-SA"/>
              </w:rPr>
            </w:pPr>
            <w:r>
              <w:rPr>
                <w:rFonts w:hint="default" w:ascii="Times New Roman" w:hAnsi="Times New Roman" w:eastAsia="宋体" w:cs="Times New Roman"/>
                <w:color w:val="auto"/>
                <w:sz w:val="24"/>
                <w:szCs w:val="24"/>
                <w:lang w:val="en-US" w:eastAsia="zh-CN"/>
              </w:rPr>
              <w:t>《工业炉窑大气污染物排放标准》（GB9078-1996）表2、表4中标准要求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80"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二氧化硫</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烟气黑度</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21" w:hRule="atLeast"/>
          <w:jc w:val="center"/>
        </w:trPr>
        <w:tc>
          <w:tcPr>
            <w:tcW w:w="1693" w:type="dxa"/>
            <w:vMerge w:val="continue"/>
            <w:noWrap w:val="0"/>
            <w:vAlign w:val="center"/>
          </w:tcPr>
          <w:p>
            <w:pPr>
              <w:adjustRightInd w:val="0"/>
              <w:snapToGrid w:val="0"/>
              <w:jc w:val="center"/>
              <w:rPr>
                <w:rFonts w:hint="default" w:ascii="Times New Roman" w:hAnsi="Times New Roman" w:cs="Times New Roman"/>
                <w:color w:val="auto"/>
                <w:sz w:val="24"/>
                <w:szCs w:val="24"/>
              </w:rPr>
            </w:pPr>
          </w:p>
        </w:tc>
        <w:tc>
          <w:tcPr>
            <w:tcW w:w="1811"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氮氧化物</w:t>
            </w:r>
          </w:p>
        </w:tc>
        <w:tc>
          <w:tcPr>
            <w:tcW w:w="2682" w:type="dxa"/>
            <w:vMerge w:val="continue"/>
            <w:noWrap w:val="0"/>
            <w:vAlign w:val="center"/>
          </w:tcPr>
          <w:p>
            <w:pPr>
              <w:adjustRightInd w:val="0"/>
              <w:snapToGrid w:val="0"/>
              <w:jc w:val="center"/>
              <w:rPr>
                <w:rFonts w:hint="default" w:ascii="Times New Roman" w:hAnsi="Times New Roman" w:cs="Times New Roman"/>
                <w:color w:val="auto"/>
                <w:sz w:val="24"/>
                <w:szCs w:val="24"/>
                <w:lang w:val="en-US" w:eastAsia="zh-CN"/>
              </w:rPr>
            </w:pPr>
          </w:p>
        </w:tc>
        <w:tc>
          <w:tcPr>
            <w:tcW w:w="1925" w:type="dxa"/>
            <w:vMerge w:val="continue"/>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2806"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地表水环境</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eastAsia" w:cs="Times New Roman"/>
                <w:color w:val="auto"/>
                <w:sz w:val="24"/>
                <w:szCs w:val="24"/>
                <w:lang w:val="en-US" w:eastAsia="zh-CN"/>
              </w:rPr>
              <w:t>/</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245"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声环境</w:t>
            </w:r>
          </w:p>
        </w:tc>
        <w:tc>
          <w:tcPr>
            <w:tcW w:w="1811" w:type="dxa"/>
            <w:noWrap w:val="0"/>
            <w:vAlign w:val="center"/>
          </w:tcPr>
          <w:p>
            <w:pPr>
              <w:adjustRightInd w:val="0"/>
              <w:snapToGrid w:val="0"/>
              <w:jc w:val="center"/>
              <w:rPr>
                <w:rFonts w:hint="eastAsia" w:ascii="Times New Roman" w:hAnsi="Times New Roman" w:eastAsia="宋体" w:cs="Times New Roman"/>
                <w:color w:val="auto"/>
                <w:sz w:val="24"/>
                <w:szCs w:val="24"/>
                <w:lang w:eastAsia="zh-CN"/>
              </w:rPr>
            </w:pPr>
            <w:r>
              <w:rPr>
                <w:rFonts w:hint="eastAsia" w:ascii="Times New Roman" w:hAnsi="Times New Roman" w:cs="Times New Roman"/>
                <w:color w:val="auto"/>
                <w:sz w:val="24"/>
                <w:szCs w:val="24"/>
                <w:lang w:val="en-US" w:eastAsia="zh-CN"/>
              </w:rPr>
              <w:t>热风炉、</w:t>
            </w:r>
            <w:r>
              <w:rPr>
                <w:rFonts w:hint="default" w:ascii="Times New Roman" w:hAnsi="Times New Roman" w:cs="Times New Roman"/>
                <w:color w:val="auto"/>
                <w:sz w:val="24"/>
                <w:szCs w:val="24"/>
              </w:rPr>
              <w:t>风机、烘干塔等设备</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机械噪声</w:t>
            </w:r>
          </w:p>
        </w:tc>
        <w:tc>
          <w:tcPr>
            <w:tcW w:w="2682"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选用低噪声设备，</w:t>
            </w:r>
            <w:r>
              <w:rPr>
                <w:rFonts w:hint="eastAsia" w:cs="Times New Roman"/>
                <w:color w:val="auto"/>
                <w:sz w:val="24"/>
                <w:szCs w:val="24"/>
                <w:lang w:val="en-US" w:eastAsia="zh-CN"/>
              </w:rPr>
              <w:t>采取隔声、减振</w:t>
            </w:r>
            <w:r>
              <w:rPr>
                <w:rFonts w:hint="default" w:ascii="Times New Roman" w:hAnsi="Times New Roman" w:cs="Times New Roman"/>
                <w:color w:val="auto"/>
                <w:sz w:val="24"/>
                <w:szCs w:val="24"/>
              </w:rPr>
              <w:t>等措施</w:t>
            </w:r>
          </w:p>
        </w:tc>
        <w:tc>
          <w:tcPr>
            <w:tcW w:w="1925" w:type="dxa"/>
            <w:noWrap w:val="0"/>
            <w:vAlign w:val="center"/>
          </w:tcPr>
          <w:p>
            <w:pPr>
              <w:adjustRightInd w:val="0"/>
              <w:snapToGrid w:val="0"/>
              <w:jc w:val="center"/>
              <w:rPr>
                <w:rFonts w:hint="default" w:ascii="Times New Roman" w:hAnsi="Times New Roman" w:cs="Times New Roman"/>
                <w:color w:val="auto"/>
                <w:sz w:val="24"/>
                <w:szCs w:val="24"/>
              </w:rPr>
            </w:pPr>
            <w:r>
              <w:rPr>
                <w:rFonts w:hint="eastAsia"/>
              </w:rPr>
              <w:t>厂界东侧、西侧、北侧执行《工业企业厂界噪声排放标准》（GB12348-2008）中2类标准要求，厂界南侧执行《工业企业厂界噪声排放标准》（GB12348-2008）中4类标准要求，声环境敏感目标执行《声环境质量标准》（GB3096-2008）中2类标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3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电磁辐射</w:t>
            </w:r>
          </w:p>
        </w:tc>
        <w:tc>
          <w:tcPr>
            <w:tcW w:w="1811"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527"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2682"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c>
          <w:tcPr>
            <w:tcW w:w="1925" w:type="dxa"/>
            <w:noWrap w:val="0"/>
            <w:vAlign w:val="center"/>
          </w:tcPr>
          <w:p>
            <w:pPr>
              <w:adjustRightInd w:val="0"/>
              <w:snapToGrid w:val="0"/>
              <w:jc w:val="center"/>
              <w:rPr>
                <w:rFonts w:hint="default" w:ascii="Times New Roman" w:hAnsi="Times New Roman" w:eastAsia="宋体" w:cs="Times New Roman"/>
                <w:color w:val="auto"/>
                <w:sz w:val="24"/>
                <w:szCs w:val="24"/>
                <w:lang w:val="en-US" w:eastAsia="zh-CN"/>
              </w:rPr>
            </w:pPr>
            <w:r>
              <w:rPr>
                <w:rFonts w:hint="default" w:ascii="Times New Roman" w:hAnsi="Times New Roman" w:cs="Times New Roman"/>
                <w:color w:val="auto"/>
                <w:sz w:val="24"/>
                <w:szCs w:val="24"/>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固体废物</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bCs/>
                <w:color w:val="auto"/>
                <w:spacing w:val="-10"/>
                <w:sz w:val="24"/>
                <w:szCs w:val="24"/>
                <w:highlight w:val="none"/>
                <w:lang w:val="en-US" w:eastAsia="zh-CN"/>
              </w:rPr>
              <w:t>清理原粮中的杂质（泥沙）集中收集，统一收集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color w:val="auto"/>
                <w:sz w:val="24"/>
                <w:szCs w:val="24"/>
                <w:highlight w:val="none"/>
              </w:rPr>
              <w:t>。</w:t>
            </w:r>
            <w:r>
              <w:rPr>
                <w:rFonts w:hint="eastAsia" w:cs="Times New Roman"/>
                <w:bCs/>
                <w:color w:val="auto"/>
                <w:spacing w:val="-10"/>
                <w:sz w:val="24"/>
                <w:szCs w:val="24"/>
                <w:highlight w:val="none"/>
                <w:lang w:val="en-US" w:eastAsia="zh-CN"/>
              </w:rPr>
              <w:t>灰渣</w:t>
            </w:r>
            <w:r>
              <w:rPr>
                <w:rFonts w:hint="default" w:ascii="Times New Roman" w:hAnsi="Times New Roman" w:eastAsia="宋体" w:cs="Times New Roman"/>
                <w:bCs/>
                <w:color w:val="auto"/>
                <w:spacing w:val="-10"/>
                <w:sz w:val="24"/>
                <w:szCs w:val="24"/>
                <w:highlight w:val="none"/>
                <w:lang w:val="en-US" w:eastAsia="zh-CN"/>
              </w:rPr>
              <w:t>集中收集，外售综合利用。装卸、筛分、输送</w:t>
            </w:r>
            <w:r>
              <w:rPr>
                <w:rFonts w:hint="eastAsia" w:ascii="Times New Roman" w:hAnsi="Times New Roman" w:eastAsia="宋体" w:cs="Times New Roman"/>
                <w:bCs/>
                <w:color w:val="auto"/>
                <w:spacing w:val="-10"/>
                <w:sz w:val="24"/>
                <w:szCs w:val="24"/>
                <w:highlight w:val="none"/>
                <w:lang w:val="en-US" w:eastAsia="zh-CN"/>
              </w:rPr>
              <w:t>、</w:t>
            </w:r>
            <w:r>
              <w:rPr>
                <w:rFonts w:hint="eastAsia"/>
                <w:color w:val="auto"/>
                <w:sz w:val="24"/>
                <w:szCs w:val="24"/>
                <w:lang w:eastAsia="zh-CN"/>
              </w:rPr>
              <w:t>烘干塔运行</w:t>
            </w:r>
            <w:r>
              <w:rPr>
                <w:rFonts w:hint="default" w:ascii="Times New Roman" w:hAnsi="Times New Roman" w:eastAsia="宋体" w:cs="Times New Roman"/>
                <w:bCs/>
                <w:color w:val="auto"/>
                <w:spacing w:val="-10"/>
                <w:sz w:val="24"/>
                <w:szCs w:val="24"/>
                <w:highlight w:val="none"/>
                <w:lang w:val="en-US" w:eastAsia="zh-CN"/>
              </w:rPr>
              <w:t>产生的</w:t>
            </w:r>
            <w:r>
              <w:rPr>
                <w:rFonts w:hint="default" w:ascii="Times New Roman" w:hAnsi="Times New Roman" w:cs="Times New Roman"/>
                <w:color w:val="auto"/>
                <w:sz w:val="24"/>
                <w:szCs w:val="24"/>
                <w:highlight w:val="none"/>
                <w:lang w:eastAsia="zh-CN"/>
              </w:rPr>
              <w:t>粉尘</w:t>
            </w:r>
            <w:r>
              <w:rPr>
                <w:rFonts w:hint="default" w:ascii="Times New Roman" w:hAnsi="Times New Roman" w:eastAsia="宋体" w:cs="Times New Roman"/>
                <w:bCs/>
                <w:color w:val="auto"/>
                <w:spacing w:val="-10"/>
                <w:sz w:val="24"/>
                <w:szCs w:val="24"/>
                <w:highlight w:val="none"/>
                <w:lang w:val="en-US" w:eastAsia="zh-CN"/>
              </w:rPr>
              <w:t>，集中收集，</w:t>
            </w:r>
            <w:r>
              <w:rPr>
                <w:rFonts w:hint="eastAsia" w:cs="Times New Roman"/>
                <w:bCs/>
                <w:color w:val="auto"/>
                <w:spacing w:val="-10"/>
                <w:sz w:val="24"/>
                <w:szCs w:val="24"/>
                <w:highlight w:val="none"/>
                <w:lang w:val="en-US" w:eastAsia="zh-CN"/>
              </w:rPr>
              <w:t>外售综合利用</w:t>
            </w:r>
            <w:r>
              <w:rPr>
                <w:rFonts w:hint="default" w:ascii="Times New Roman" w:hAnsi="Times New Roman" w:eastAsia="宋体" w:cs="Times New Roman"/>
                <w:bCs/>
                <w:color w:val="auto"/>
                <w:spacing w:val="-10"/>
                <w:sz w:val="24"/>
                <w:szCs w:val="24"/>
                <w:highlight w:val="none"/>
                <w:lang w:val="en-US" w:eastAsia="zh-CN"/>
              </w:rPr>
              <w:t>。</w:t>
            </w:r>
            <w:r>
              <w:rPr>
                <w:rFonts w:hint="eastAsia" w:cs="Times New Roman"/>
                <w:bCs/>
                <w:color w:val="auto"/>
                <w:spacing w:val="-10"/>
                <w:sz w:val="24"/>
                <w:szCs w:val="24"/>
                <w:highlight w:val="none"/>
                <w:lang w:val="en-US" w:eastAsia="zh-CN"/>
              </w:rPr>
              <w:t>废布袋由厂家回收处置，产生的不合格粮食外售给周边农户。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土壤及地下水</w:t>
            </w:r>
          </w:p>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污染防治措施</w:t>
            </w:r>
          </w:p>
        </w:tc>
        <w:tc>
          <w:tcPr>
            <w:tcW w:w="7945" w:type="dxa"/>
            <w:gridSpan w:val="4"/>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1693" w:type="dxa"/>
            <w:noWrap w:val="0"/>
            <w:vAlign w:val="center"/>
          </w:tcPr>
          <w:p>
            <w:pPr>
              <w:adjustRightInd w:val="0"/>
              <w:snapToGrid w:val="0"/>
              <w:jc w:val="center"/>
              <w:rPr>
                <w:rFonts w:hint="default" w:ascii="Times New Roman" w:hAnsi="Times New Roman" w:cs="Times New Roman"/>
                <w:color w:val="auto"/>
                <w:sz w:val="24"/>
                <w:szCs w:val="24"/>
              </w:rPr>
            </w:pPr>
            <w:r>
              <w:rPr>
                <w:rFonts w:hint="default" w:ascii="Times New Roman" w:hAnsi="Times New Roman" w:cs="Times New Roman"/>
                <w:color w:val="auto"/>
                <w:sz w:val="24"/>
                <w:szCs w:val="24"/>
              </w:rPr>
              <w:t>生态保护措施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spacing w:val="-10"/>
                <w:sz w:val="24"/>
                <w:szCs w:val="24"/>
                <w:highlight w:val="none"/>
                <w:lang w:val="en-US" w:eastAsia="zh-CN"/>
              </w:rPr>
            </w:pPr>
            <w:r>
              <w:rPr>
                <w:rFonts w:hint="default" w:ascii="Times New Roman" w:hAnsi="Times New Roman" w:eastAsia="宋体" w:cs="Times New Roman"/>
                <w:bCs/>
                <w:color w:val="auto"/>
                <w:spacing w:val="-10"/>
                <w:sz w:val="24"/>
                <w:szCs w:val="24"/>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853" w:hRule="atLeast"/>
          <w:jc w:val="center"/>
        </w:trPr>
        <w:tc>
          <w:tcPr>
            <w:tcW w:w="1693" w:type="dxa"/>
            <w:noWrap w:val="0"/>
            <w:vAlign w:val="center"/>
          </w:tcPr>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环境风险</w:t>
            </w:r>
          </w:p>
          <w:p>
            <w:pPr>
              <w:adjustRightInd w:val="0"/>
              <w:snapToGrid w:val="0"/>
              <w:jc w:val="center"/>
              <w:rPr>
                <w:rFonts w:hint="default" w:ascii="Times New Roman" w:hAnsi="Times New Roman" w:cs="Times New Roman"/>
                <w:color w:val="auto"/>
                <w:spacing w:val="-8"/>
                <w:sz w:val="24"/>
                <w:szCs w:val="24"/>
              </w:rPr>
            </w:pPr>
            <w:r>
              <w:rPr>
                <w:rFonts w:hint="default" w:ascii="Times New Roman" w:hAnsi="Times New Roman" w:cs="Times New Roman"/>
                <w:color w:val="auto"/>
                <w:spacing w:val="-8"/>
                <w:sz w:val="24"/>
                <w:szCs w:val="24"/>
              </w:rPr>
              <w:t>防范措施</w:t>
            </w:r>
          </w:p>
        </w:tc>
        <w:tc>
          <w:tcPr>
            <w:tcW w:w="7945" w:type="dxa"/>
            <w:gridSpan w:val="4"/>
            <w:noWrap w:val="0"/>
            <w:vAlign w:val="center"/>
          </w:tcPr>
          <w:p>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440" w:firstLineChars="200"/>
              <w:jc w:val="both"/>
              <w:textAlignment w:val="auto"/>
              <w:rPr>
                <w:rFonts w:hint="eastAsia" w:ascii="Times New Roman" w:hAnsi="Times New Roman" w:eastAsia="宋体" w:cs="Times New Roman"/>
                <w:bCs/>
                <w:color w:val="auto"/>
                <w:spacing w:val="-10"/>
                <w:sz w:val="24"/>
                <w:szCs w:val="24"/>
                <w:highlight w:val="none"/>
                <w:lang w:val="en-US" w:eastAsia="zh-CN"/>
              </w:rPr>
            </w:pPr>
            <w:r>
              <w:rPr>
                <w:rFonts w:hint="eastAsia" w:ascii="Times New Roman" w:hAnsi="Times New Roman" w:eastAsia="宋体" w:cs="Times New Roman"/>
                <w:bCs/>
                <w:color w:val="auto"/>
                <w:spacing w:val="-10"/>
                <w:sz w:val="24"/>
                <w:szCs w:val="24"/>
                <w:highlight w:val="none"/>
                <w:lang w:val="en-US" w:eastAsia="zh-CN"/>
              </w:rPr>
              <w:t>加强操作人员的岗位培训，严格遵守规程。对事故易发处按规定时间巡检，发现问题及早解决。</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926" w:hRule="atLeast"/>
          <w:jc w:val="center"/>
        </w:trPr>
        <w:tc>
          <w:tcPr>
            <w:tcW w:w="1693" w:type="dxa"/>
            <w:noWrap w:val="0"/>
            <w:vAlign w:val="center"/>
          </w:tcPr>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其他环境</w:t>
            </w:r>
          </w:p>
          <w:p>
            <w:pPr>
              <w:adjustRightInd w:val="0"/>
              <w:snapToGrid w:val="0"/>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管理要求</w:t>
            </w:r>
          </w:p>
        </w:tc>
        <w:tc>
          <w:tcPr>
            <w:tcW w:w="7945" w:type="dxa"/>
            <w:gridSpan w:val="4"/>
            <w:noWrap w:val="0"/>
            <w:vAlign w:val="center"/>
          </w:tcPr>
          <w:p>
            <w:pPr>
              <w:adjustRightInd w:val="0"/>
              <w:snapToGrid w:val="0"/>
              <w:jc w:val="center"/>
              <w:rPr>
                <w:rFonts w:hint="default" w:ascii="Times New Roman" w:hAnsi="Times New Roman" w:eastAsia="宋体" w:cs="Times New Roman"/>
                <w:color w:val="auto"/>
                <w:sz w:val="24"/>
                <w:szCs w:val="24"/>
              </w:rPr>
            </w:pPr>
            <w:r>
              <w:rPr>
                <w:rFonts w:ascii="Times New Roman" w:hAnsi="Times New Roman" w:eastAsia="宋体"/>
                <w:color w:val="auto"/>
                <w:sz w:val="24"/>
                <w:szCs w:val="24"/>
                <w:highlight w:val="none"/>
              </w:rPr>
              <w:t>本项目属于《固定污染源排污许可分类管理名录（2019年版）》中</w:t>
            </w:r>
            <w:r>
              <w:rPr>
                <w:rFonts w:hint="eastAsia" w:ascii="Times New Roman" w:hAnsi="Times New Roman" w:eastAsia="宋体"/>
                <w:color w:val="auto"/>
                <w:sz w:val="24"/>
                <w:szCs w:val="24"/>
                <w:highlight w:val="none"/>
                <w:lang w:val="en-US" w:eastAsia="zh-CN"/>
              </w:rPr>
              <w:t>五一中110</w:t>
            </w: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lang w:val="en-US" w:eastAsia="zh-CN"/>
              </w:rPr>
              <w:t>工业炉窑，除纳入重点排污单位名录的，除以天然气或者电为能源的加热炉，热处理炉，干燥炉窑以外的其他工业炉窑</w:t>
            </w:r>
            <w:r>
              <w:rPr>
                <w:rFonts w:ascii="Times New Roman" w:hAnsi="Times New Roman" w:eastAsia="宋体"/>
                <w:color w:val="auto"/>
                <w:sz w:val="24"/>
                <w:szCs w:val="24"/>
                <w:highlight w:val="none"/>
              </w:rPr>
              <w:t>，因此实行</w:t>
            </w:r>
            <w:r>
              <w:rPr>
                <w:rFonts w:hint="eastAsia" w:ascii="Times New Roman" w:hAnsi="Times New Roman" w:eastAsia="宋体"/>
                <w:color w:val="auto"/>
                <w:sz w:val="24"/>
                <w:szCs w:val="24"/>
                <w:highlight w:val="none"/>
                <w:lang w:val="en-US" w:eastAsia="zh-CN"/>
              </w:rPr>
              <w:t>简化管理</w:t>
            </w:r>
            <w:r>
              <w:rPr>
                <w:rFonts w:ascii="Times New Roman" w:hAnsi="Times New Roman" w:eastAsia="宋体"/>
                <w:color w:val="auto"/>
                <w:sz w:val="24"/>
                <w:szCs w:val="24"/>
                <w:highlight w:val="none"/>
              </w:rPr>
              <w:t>。</w:t>
            </w:r>
          </w:p>
        </w:tc>
      </w:tr>
    </w:tbl>
    <w:p>
      <w:pPr>
        <w:pStyle w:val="25"/>
        <w:jc w:val="center"/>
        <w:outlineLvl w:val="0"/>
        <w:rPr>
          <w:rFonts w:hint="default" w:ascii="Times New Roman" w:hAnsi="Times New Roman" w:eastAsia="黑体" w:cs="Times New Roman"/>
          <w:snapToGrid w:val="0"/>
          <w:color w:val="auto"/>
          <w:sz w:val="30"/>
          <w:szCs w:val="30"/>
        </w:rPr>
      </w:pPr>
      <w:r>
        <w:rPr>
          <w:rFonts w:hint="default" w:ascii="Times New Roman" w:hAnsi="Times New Roman" w:cs="Times New Roman"/>
          <w:snapToGrid w:val="0"/>
          <w:color w:val="auto"/>
        </w:rPr>
        <w:br w:type="page"/>
      </w:r>
      <w:bookmarkStart w:id="40" w:name="_Toc30963"/>
      <w:bookmarkStart w:id="41" w:name="_Toc7766"/>
      <w:r>
        <w:rPr>
          <w:rFonts w:hint="default" w:ascii="Times New Roman" w:hAnsi="Times New Roman" w:eastAsia="黑体" w:cs="Times New Roman"/>
          <w:snapToGrid w:val="0"/>
          <w:color w:val="auto"/>
          <w:sz w:val="30"/>
          <w:szCs w:val="30"/>
        </w:rPr>
        <w:t>六、结论</w:t>
      </w:r>
      <w:bookmarkEnd w:id="40"/>
      <w:bookmarkEnd w:id="41"/>
    </w:p>
    <w:tbl>
      <w:tblPr>
        <w:tblStyle w:val="30"/>
        <w:tblW w:w="9638" w:type="dxa"/>
        <w:jc w:val="center"/>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63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11991" w:hRule="atLeast"/>
          <w:jc w:val="center"/>
        </w:trPr>
        <w:tc>
          <w:tcPr>
            <w:tcW w:w="9638" w:type="dxa"/>
            <w:noWrap w:val="0"/>
            <w:vAlign w:val="top"/>
          </w:tcPr>
          <w:p>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 w:val="24"/>
                <w:szCs w:val="24"/>
                <w:highlight w:val="none"/>
                <w:lang w:eastAsia="zh-CN"/>
              </w:rPr>
              <w:t>本项目运营中将会对评价范围的地表水环境、环境空气、声环境产生一定的不利影响，本项目在确保严格落实本报告表提出的污染物防治措施的前提下，对地表水环境、环境空气、声环境等的影响较小，可以被周围环境所接受，能够做到社会效益、经济效益和环境效益的统一。因此，本项目的建设从环境保护的角度而言是可行的。</w:t>
            </w:r>
          </w:p>
        </w:tc>
      </w:tr>
    </w:tbl>
    <w:p>
      <w:pPr>
        <w:rPr>
          <w:rFonts w:hint="default" w:ascii="Times New Roman" w:hAnsi="Times New Roman" w:cs="Times New Roman"/>
          <w:color w:val="auto"/>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adjustRightInd w:val="0"/>
        <w:snapToGrid w:val="0"/>
        <w:spacing w:before="0" w:beforeAutospacing="0" w:after="0" w:afterAutospacing="0" w:line="648" w:lineRule="auto"/>
        <w:outlineLvl w:val="0"/>
        <w:rPr>
          <w:rFonts w:hint="default" w:ascii="Times New Roman" w:hAnsi="Times New Roman" w:eastAsia="黑体" w:cs="Times New Roman"/>
          <w:snapToGrid w:val="0"/>
          <w:color w:val="auto"/>
          <w:sz w:val="28"/>
          <w:szCs w:val="28"/>
        </w:rPr>
      </w:pPr>
      <w:bookmarkStart w:id="42" w:name="_Toc4565"/>
      <w:bookmarkStart w:id="43" w:name="_Toc14527"/>
      <w:r>
        <w:rPr>
          <w:rFonts w:hint="default" w:ascii="Times New Roman" w:hAnsi="Times New Roman" w:eastAsia="黑体" w:cs="Times New Roman"/>
          <w:snapToGrid w:val="0"/>
          <w:color w:val="auto"/>
          <w:sz w:val="32"/>
          <w:szCs w:val="32"/>
        </w:rPr>
        <w:t>附表</w:t>
      </w:r>
      <w:bookmarkEnd w:id="42"/>
      <w:bookmarkEnd w:id="43"/>
    </w:p>
    <w:p>
      <w:pPr>
        <w:bidi w:val="0"/>
        <w:jc w:val="center"/>
        <w:outlineLvl w:val="0"/>
        <w:rPr>
          <w:rFonts w:hint="default" w:ascii="Times New Roman" w:hAnsi="Times New Roman" w:cs="Times New Roman"/>
          <w:color w:val="auto"/>
          <w:sz w:val="28"/>
          <w:szCs w:val="28"/>
          <w:lang w:val="en-US" w:eastAsia="zh-CN"/>
        </w:rPr>
      </w:pPr>
      <w:bookmarkStart w:id="44" w:name="_Toc15726"/>
      <w:bookmarkStart w:id="45" w:name="_Toc20007"/>
      <w:bookmarkStart w:id="46" w:name="_Toc3439"/>
      <w:bookmarkStart w:id="47" w:name="_Toc6734"/>
      <w:bookmarkStart w:id="48" w:name="_Toc25761"/>
      <w:bookmarkStart w:id="49" w:name="_Toc27572"/>
      <w:r>
        <w:rPr>
          <w:rFonts w:hint="default" w:ascii="Times New Roman" w:hAnsi="Times New Roman" w:cs="Times New Roman"/>
          <w:color w:val="auto"/>
          <w:sz w:val="28"/>
          <w:szCs w:val="28"/>
        </w:rPr>
        <w:t>建设项目污染物排放量汇总表</w:t>
      </w:r>
      <w:bookmarkEnd w:id="44"/>
      <w:bookmarkEnd w:id="45"/>
      <w:bookmarkEnd w:id="46"/>
      <w:bookmarkEnd w:id="47"/>
      <w:bookmarkEnd w:id="48"/>
      <w:bookmarkEnd w:id="49"/>
    </w:p>
    <w:p>
      <w:pPr>
        <w:bidi w:val="0"/>
        <w:jc w:val="right"/>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单位: t/a</w:t>
      </w:r>
    </w:p>
    <w:tbl>
      <w:tblPr>
        <w:tblStyle w:val="30"/>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32"/>
        <w:gridCol w:w="1573"/>
        <w:gridCol w:w="1701"/>
        <w:gridCol w:w="1276"/>
        <w:gridCol w:w="1701"/>
        <w:gridCol w:w="1559"/>
        <w:gridCol w:w="1761"/>
        <w:gridCol w:w="1766"/>
        <w:gridCol w:w="101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tcBorders>
              <w:tl2br w:val="single" w:color="auto" w:sz="4" w:space="0"/>
            </w:tcBorders>
            <w:noWrap w:val="0"/>
            <w:tcMar>
              <w:left w:w="28" w:type="dxa"/>
              <w:right w:w="28" w:type="dxa"/>
            </w:tcMar>
            <w:vAlign w:val="center"/>
          </w:tcPr>
          <w:p>
            <w:pPr>
              <w:pStyle w:val="57"/>
              <w:spacing w:beforeLines="0" w:afterLines="0" w:line="240" w:lineRule="auto"/>
              <w:jc w:val="righ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项目</w:t>
            </w:r>
          </w:p>
          <w:p>
            <w:pPr>
              <w:pStyle w:val="57"/>
              <w:spacing w:beforeLines="0" w:afterLines="0" w:line="240" w:lineRule="auto"/>
              <w:jc w:val="left"/>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分类</w:t>
            </w:r>
          </w:p>
        </w:tc>
        <w:tc>
          <w:tcPr>
            <w:tcW w:w="1573"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污染物名称</w:t>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1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①</w:t>
            </w:r>
            <w:r>
              <w:rPr>
                <w:rFonts w:hint="default" w:ascii="Times New Roman" w:hAnsi="Times New Roman" w:eastAsia="黑体" w:cs="Times New Roman"/>
                <w:snapToGrid w:val="0"/>
                <w:color w:val="auto"/>
                <w:spacing w:val="-6"/>
                <w:kern w:val="21"/>
                <w:szCs w:val="21"/>
              </w:rPr>
              <w:fldChar w:fldCharType="end"/>
            </w:r>
          </w:p>
        </w:tc>
        <w:tc>
          <w:tcPr>
            <w:tcW w:w="127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现有工程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许可排放量</w:t>
            </w:r>
          </w:p>
          <w:p>
            <w:pPr>
              <w:pStyle w:val="57"/>
              <w:spacing w:beforeLines="0" w:afterLines="0"/>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2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snapToGrid w:val="0"/>
                <w:color w:val="auto"/>
                <w:spacing w:val="-6"/>
                <w:kern w:val="21"/>
                <w:szCs w:val="21"/>
              </w:rPr>
              <w:t>②</w:t>
            </w:r>
            <w:r>
              <w:rPr>
                <w:rFonts w:hint="default" w:ascii="Times New Roman" w:hAnsi="Times New Roman" w:eastAsia="黑体" w:cs="Times New Roman"/>
                <w:snapToGrid w:val="0"/>
                <w:color w:val="auto"/>
                <w:spacing w:val="-6"/>
                <w:kern w:val="21"/>
                <w:szCs w:val="21"/>
              </w:rPr>
              <w:fldChar w:fldCharType="end"/>
            </w:r>
          </w:p>
        </w:tc>
        <w:tc>
          <w:tcPr>
            <w:tcW w:w="170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在建工程</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3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③</w:t>
            </w:r>
            <w:r>
              <w:rPr>
                <w:rFonts w:hint="default" w:ascii="Times New Roman" w:hAnsi="Times New Roman" w:eastAsia="黑体" w:cs="Times New Roman"/>
                <w:snapToGrid w:val="0"/>
                <w:color w:val="auto"/>
                <w:spacing w:val="-6"/>
                <w:kern w:val="21"/>
                <w:szCs w:val="21"/>
              </w:rPr>
              <w:fldChar w:fldCharType="end"/>
            </w:r>
          </w:p>
        </w:tc>
        <w:tc>
          <w:tcPr>
            <w:tcW w:w="155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本项目</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排放量（固体废物产生量）</w:t>
            </w: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4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④</w:t>
            </w:r>
            <w:r>
              <w:rPr>
                <w:rFonts w:hint="default" w:ascii="Times New Roman" w:hAnsi="Times New Roman" w:eastAsia="黑体" w:cs="Times New Roman"/>
                <w:snapToGrid w:val="0"/>
                <w:color w:val="auto"/>
                <w:spacing w:val="-6"/>
                <w:kern w:val="21"/>
                <w:szCs w:val="21"/>
              </w:rPr>
              <w:fldChar w:fldCharType="end"/>
            </w:r>
          </w:p>
        </w:tc>
        <w:tc>
          <w:tcPr>
            <w:tcW w:w="1761"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以新带老削减量</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（新建项目不填）</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5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⑤</w:t>
            </w:r>
            <w:r>
              <w:rPr>
                <w:rFonts w:hint="default" w:ascii="Times New Roman" w:hAnsi="Times New Roman" w:eastAsia="黑体" w:cs="Times New Roman"/>
                <w:snapToGrid w:val="0"/>
                <w:color w:val="auto"/>
                <w:spacing w:val="-16"/>
                <w:kern w:val="21"/>
                <w:szCs w:val="21"/>
              </w:rPr>
              <w:fldChar w:fldCharType="end"/>
            </w:r>
          </w:p>
        </w:tc>
        <w:tc>
          <w:tcPr>
            <w:tcW w:w="1766"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本项目建成后</w:t>
            </w:r>
          </w:p>
          <w:p>
            <w:pPr>
              <w:pStyle w:val="57"/>
              <w:spacing w:beforeLines="0" w:afterLines="0" w:line="240" w:lineRule="auto"/>
              <w:rPr>
                <w:rFonts w:hint="default" w:ascii="Times New Roman" w:hAnsi="Times New Roman" w:eastAsia="黑体" w:cs="Times New Roman"/>
                <w:snapToGrid w:val="0"/>
                <w:color w:val="auto"/>
                <w:spacing w:val="-16"/>
                <w:kern w:val="21"/>
                <w:szCs w:val="21"/>
              </w:rPr>
            </w:pPr>
            <w:r>
              <w:rPr>
                <w:rFonts w:hint="default" w:ascii="Times New Roman" w:hAnsi="Times New Roman" w:eastAsia="黑体" w:cs="Times New Roman"/>
                <w:snapToGrid w:val="0"/>
                <w:color w:val="auto"/>
                <w:spacing w:val="-16"/>
                <w:kern w:val="21"/>
                <w:szCs w:val="21"/>
              </w:rPr>
              <w:t>全厂排放量（固体废物产生量）</w:t>
            </w:r>
            <w:r>
              <w:rPr>
                <w:rFonts w:hint="default" w:ascii="Times New Roman" w:hAnsi="Times New Roman" w:eastAsia="黑体" w:cs="Times New Roman"/>
                <w:snapToGrid w:val="0"/>
                <w:color w:val="auto"/>
                <w:spacing w:val="-16"/>
                <w:kern w:val="21"/>
                <w:szCs w:val="21"/>
              </w:rPr>
              <w:fldChar w:fldCharType="begin"/>
            </w:r>
            <w:r>
              <w:rPr>
                <w:rFonts w:hint="default" w:ascii="Times New Roman" w:hAnsi="Times New Roman" w:eastAsia="黑体" w:cs="Times New Roman"/>
                <w:snapToGrid w:val="0"/>
                <w:color w:val="auto"/>
                <w:spacing w:val="-16"/>
                <w:kern w:val="21"/>
                <w:szCs w:val="21"/>
              </w:rPr>
              <w:instrText xml:space="preserve"> = 6 \* GB3 \* MERGEFORMAT </w:instrText>
            </w:r>
            <w:r>
              <w:rPr>
                <w:rFonts w:hint="default" w:ascii="Times New Roman" w:hAnsi="Times New Roman" w:eastAsia="黑体" w:cs="Times New Roman"/>
                <w:snapToGrid w:val="0"/>
                <w:color w:val="auto"/>
                <w:spacing w:val="-16"/>
                <w:kern w:val="21"/>
                <w:szCs w:val="21"/>
              </w:rPr>
              <w:fldChar w:fldCharType="separate"/>
            </w:r>
            <w:r>
              <w:rPr>
                <w:rFonts w:hint="default" w:ascii="Times New Roman" w:hAnsi="Times New Roman" w:eastAsia="黑体" w:cs="Times New Roman"/>
                <w:color w:val="auto"/>
                <w:kern w:val="2"/>
                <w:szCs w:val="21"/>
              </w:rPr>
              <w:t>⑥</w:t>
            </w:r>
            <w:r>
              <w:rPr>
                <w:rFonts w:hint="default" w:ascii="Times New Roman" w:hAnsi="Times New Roman" w:eastAsia="黑体" w:cs="Times New Roman"/>
                <w:snapToGrid w:val="0"/>
                <w:color w:val="auto"/>
                <w:spacing w:val="-16"/>
                <w:kern w:val="21"/>
                <w:szCs w:val="21"/>
              </w:rPr>
              <w:fldChar w:fldCharType="end"/>
            </w:r>
          </w:p>
        </w:tc>
        <w:tc>
          <w:tcPr>
            <w:tcW w:w="1019" w:type="dxa"/>
            <w:noWrap w:val="0"/>
            <w:tcMar>
              <w:left w:w="28" w:type="dxa"/>
              <w:right w:w="28" w:type="dxa"/>
            </w:tcMar>
            <w:vAlign w:val="center"/>
          </w:tcPr>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t>变化量</w:t>
            </w:r>
          </w:p>
          <w:p>
            <w:pPr>
              <w:pStyle w:val="57"/>
              <w:spacing w:beforeLines="0" w:afterLines="0" w:line="240" w:lineRule="auto"/>
              <w:rPr>
                <w:rFonts w:hint="default" w:ascii="Times New Roman" w:hAnsi="Times New Roman" w:eastAsia="黑体" w:cs="Times New Roman"/>
                <w:snapToGrid w:val="0"/>
                <w:color w:val="auto"/>
                <w:spacing w:val="-6"/>
                <w:kern w:val="21"/>
                <w:szCs w:val="21"/>
              </w:rPr>
            </w:pPr>
            <w:r>
              <w:rPr>
                <w:rFonts w:hint="default" w:ascii="Times New Roman" w:hAnsi="Times New Roman" w:eastAsia="黑体" w:cs="Times New Roman"/>
                <w:snapToGrid w:val="0"/>
                <w:color w:val="auto"/>
                <w:spacing w:val="-6"/>
                <w:kern w:val="21"/>
                <w:szCs w:val="21"/>
              </w:rPr>
              <w:fldChar w:fldCharType="begin"/>
            </w:r>
            <w:r>
              <w:rPr>
                <w:rFonts w:hint="default" w:ascii="Times New Roman" w:hAnsi="Times New Roman" w:eastAsia="黑体" w:cs="Times New Roman"/>
                <w:snapToGrid w:val="0"/>
                <w:color w:val="auto"/>
                <w:spacing w:val="-6"/>
                <w:kern w:val="21"/>
                <w:szCs w:val="21"/>
              </w:rPr>
              <w:instrText xml:space="preserve"> = 7 \* GB3 \* MERGEFORMAT </w:instrText>
            </w:r>
            <w:r>
              <w:rPr>
                <w:rFonts w:hint="default" w:ascii="Times New Roman" w:hAnsi="Times New Roman" w:eastAsia="黑体" w:cs="Times New Roman"/>
                <w:snapToGrid w:val="0"/>
                <w:color w:val="auto"/>
                <w:spacing w:val="-6"/>
                <w:kern w:val="21"/>
                <w:szCs w:val="21"/>
              </w:rPr>
              <w:fldChar w:fldCharType="separate"/>
            </w:r>
            <w:r>
              <w:rPr>
                <w:rFonts w:hint="default" w:ascii="Times New Roman" w:hAnsi="Times New Roman" w:eastAsia="黑体" w:cs="Times New Roman"/>
                <w:color w:val="auto"/>
                <w:kern w:val="2"/>
                <w:szCs w:val="21"/>
              </w:rPr>
              <w:t>⑦</w:t>
            </w:r>
            <w:r>
              <w:rPr>
                <w:rFonts w:hint="default" w:ascii="Times New Roman" w:hAnsi="Times New Roman" w:eastAsia="黑体" w:cs="Times New Roman"/>
                <w:snapToGrid w:val="0"/>
                <w:color w:val="auto"/>
                <w:spacing w:val="-6"/>
                <w:kern w:val="21"/>
                <w:szCs w:val="21"/>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废气</w:t>
            </w: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颗粒物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0.045</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lang w:val="en-US" w:eastAsia="zh-CN"/>
              </w:rPr>
              <w:t>/</w:t>
            </w:r>
          </w:p>
        </w:tc>
        <w:tc>
          <w:tcPr>
            <w:tcW w:w="155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0.045</w:t>
            </w:r>
          </w:p>
        </w:tc>
        <w:tc>
          <w:tcPr>
            <w:tcW w:w="1766"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1.471</w:t>
            </w:r>
          </w:p>
        </w:tc>
        <w:tc>
          <w:tcPr>
            <w:tcW w:w="1019" w:type="dxa"/>
            <w:noWrap w:val="0"/>
            <w:vAlign w:val="center"/>
          </w:tcPr>
          <w:p>
            <w:pPr>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ascii="Times New Roman" w:hAnsi="Times New Roman" w:eastAsia="宋体" w:cs="Times New Roman"/>
                <w:b w:val="0"/>
                <w:bCs w:val="0"/>
                <w:i w:val="0"/>
                <w:iCs w:val="0"/>
                <w:color w:val="auto"/>
                <w:spacing w:val="0"/>
                <w:kern w:val="0"/>
                <w:sz w:val="21"/>
                <w:szCs w:val="21"/>
                <w:highlight w:val="none"/>
                <w:lang w:val="en-US" w:eastAsia="zh-CN"/>
              </w:rPr>
              <w:t>1.426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二氧化硫</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bidi="ar-SA"/>
              </w:rPr>
              <w:t>0.048</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color w:val="auto"/>
                <w:sz w:val="21"/>
                <w:szCs w:val="21"/>
                <w:highlight w:val="none"/>
                <w:lang w:val="en-US" w:eastAsia="zh-CN"/>
              </w:rPr>
              <w:t>0.630</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bidi="ar-SA"/>
              </w:rPr>
              <w:t>0.048</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sz w:val="21"/>
                <w:szCs w:val="21"/>
                <w:highlight w:val="none"/>
                <w:lang w:val="en-US" w:eastAsia="zh-CN"/>
              </w:rPr>
              <w:t>0.630</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b w:val="0"/>
                <w:bCs w:val="0"/>
                <w:i w:val="0"/>
                <w:iCs w:val="0"/>
                <w:color w:val="auto"/>
                <w:spacing w:val="0"/>
                <w:kern w:val="0"/>
                <w:sz w:val="21"/>
                <w:szCs w:val="21"/>
                <w:highlight w:val="none"/>
                <w:lang w:val="en-US" w:eastAsia="zh-CN" w:bidi="ar-SA"/>
              </w:rPr>
              <w:t>0.582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氮氧化物</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bidi="ar-SA"/>
              </w:rPr>
              <w:t>0.303</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0.938</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bidi="ar-SA"/>
              </w:rPr>
              <w:t>0.303</w:t>
            </w:r>
          </w:p>
        </w:tc>
        <w:tc>
          <w:tcPr>
            <w:tcW w:w="1766"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0.938</w:t>
            </w:r>
          </w:p>
        </w:tc>
        <w:tc>
          <w:tcPr>
            <w:tcW w:w="1019" w:type="dxa"/>
            <w:noWrap w:val="0"/>
            <w:vAlign w:val="center"/>
          </w:tcPr>
          <w:p>
            <w:pPr>
              <w:spacing w:line="240" w:lineRule="auto"/>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0.635</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restart"/>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一般工业</w:t>
            </w:r>
          </w:p>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lang w:val="en-US" w:eastAsia="zh-CN"/>
              </w:rPr>
              <w:t>固体废物</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粉尘</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highlight w:val="none"/>
                <w:lang w:val="en-US" w:eastAsia="zh-CN"/>
              </w:rPr>
              <w:t>1.62</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b w:val="0"/>
                <w:bCs w:val="0"/>
                <w:i w:val="0"/>
                <w:iCs w:val="0"/>
                <w:color w:val="auto"/>
                <w:spacing w:val="0"/>
                <w:kern w:val="0"/>
                <w:sz w:val="21"/>
                <w:szCs w:val="21"/>
                <w:highlight w:val="none"/>
                <w:lang w:val="en-US" w:eastAsia="zh-CN"/>
              </w:rPr>
              <w:t>2.7</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2.7</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b w:val="0"/>
                <w:bCs w:val="0"/>
                <w:i w:val="0"/>
                <w:iCs w:val="0"/>
                <w:color w:val="auto"/>
                <w:spacing w:val="0"/>
                <w:kern w:val="0"/>
                <w:sz w:val="21"/>
                <w:szCs w:val="21"/>
                <w:highlight w:val="none"/>
                <w:lang w:val="en-US" w:eastAsia="zh-CN"/>
              </w:rPr>
              <w:t>1.08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沙泥</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bidi="ar-SA"/>
              </w:rPr>
              <w:t>0.9</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w:t>
            </w:r>
            <w:r>
              <w:rPr>
                <w:rFonts w:hint="eastAsia" w:cs="Times New Roman"/>
                <w:color w:val="auto"/>
                <w:kern w:val="2"/>
                <w:sz w:val="21"/>
                <w:szCs w:val="21"/>
                <w:highlight w:val="none"/>
                <w:lang w:val="en-US" w:eastAsia="zh-CN" w:bidi="ar-SA"/>
              </w:rPr>
              <w:t>.5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ascii="Times New Roman" w:hAnsi="Times New Roman" w:eastAsia="宋体" w:cs="Times New Roman"/>
                <w:color w:val="auto"/>
                <w:sz w:val="21"/>
                <w:szCs w:val="21"/>
                <w:highlight w:val="none"/>
                <w:lang w:val="en-US" w:eastAsia="zh-CN"/>
              </w:rPr>
              <w:t>灰渣</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eastAsia" w:ascii="Times New Roman" w:hAnsi="Times New Roman" w:eastAsia="宋体" w:cs="Times New Roman"/>
                <w:b w:val="0"/>
                <w:bCs w:val="0"/>
                <w:i w:val="0"/>
                <w:iCs w:val="0"/>
                <w:color w:val="auto"/>
                <w:spacing w:val="0"/>
                <w:kern w:val="0"/>
                <w:sz w:val="21"/>
                <w:szCs w:val="21"/>
                <w:lang w:val="en-US" w:eastAsia="zh-CN" w:bidi="ar-SA"/>
              </w:rPr>
              <w:t>31.917</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256.25</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val="0"/>
                <w:bCs w:val="0"/>
                <w:i w:val="0"/>
                <w:iCs w:val="0"/>
                <w:color w:val="auto"/>
                <w:spacing w:val="0"/>
                <w:kern w:val="0"/>
                <w:sz w:val="21"/>
                <w:szCs w:val="21"/>
                <w:highlight w:val="none"/>
                <w:lang w:val="en-US" w:eastAsia="zh-CN" w:bidi="ar-SA"/>
              </w:rPr>
            </w:pPr>
            <w:r>
              <w:rPr>
                <w:rFonts w:hint="eastAsia" w:cs="Times New Roman"/>
                <w:color w:val="auto"/>
                <w:kern w:val="2"/>
                <w:sz w:val="21"/>
                <w:szCs w:val="21"/>
                <w:highlight w:val="none"/>
                <w:lang w:val="en-US" w:eastAsia="zh-CN" w:bidi="ar-SA"/>
              </w:rPr>
              <w:t>224.333</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vMerge w:val="continue"/>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废布袋</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ascii="Times New Roman" w:hAnsi="Times New Roman" w:eastAsia="宋体" w:cs="Times New Roman"/>
                <w:b w:val="0"/>
                <w:bCs w:val="0"/>
                <w:i w:val="0"/>
                <w:iCs w:val="0"/>
                <w:color w:val="auto"/>
                <w:spacing w:val="0"/>
                <w:kern w:val="0"/>
                <w:sz w:val="21"/>
                <w:szCs w:val="21"/>
                <w:lang w:val="en-US" w:eastAsia="zh-CN"/>
              </w:rPr>
              <w:t>0.02</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0.02</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ascii="Times New Roman" w:hAnsi="Times New Roman" w:eastAsia="宋体" w:cs="Times New Roman"/>
                <w:b w:val="0"/>
                <w:bCs w:val="0"/>
                <w:i w:val="0"/>
                <w:iCs w:val="0"/>
                <w:color w:val="auto"/>
                <w:spacing w:val="0"/>
                <w:kern w:val="0"/>
                <w:sz w:val="21"/>
                <w:szCs w:val="21"/>
                <w:highlight w:val="none"/>
                <w:lang w:val="en-US" w:eastAsia="zh-CN"/>
              </w:rPr>
              <w:t>0.02</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0.02</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highlight w:val="none"/>
                <w:lang w:val="en-US" w:eastAsia="zh-CN" w:bidi="ar-SA"/>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432"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lang w:val="en-US" w:eastAsia="zh-CN"/>
              </w:rPr>
            </w:pPr>
            <w:r>
              <w:rPr>
                <w:rFonts w:hint="eastAsia" w:cs="Times New Roman"/>
                <w:b w:val="0"/>
                <w:bCs w:val="0"/>
                <w:i w:val="0"/>
                <w:iCs w:val="0"/>
                <w:color w:val="auto"/>
                <w:spacing w:val="0"/>
                <w:kern w:val="0"/>
                <w:sz w:val="21"/>
                <w:szCs w:val="21"/>
                <w:lang w:val="en-US" w:eastAsia="zh-CN"/>
              </w:rPr>
              <w:t>/</w:t>
            </w:r>
          </w:p>
        </w:tc>
        <w:tc>
          <w:tcPr>
            <w:tcW w:w="1573"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生活垃圾</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eastAsia" w:cs="Times New Roman"/>
                <w:color w:val="auto"/>
                <w:sz w:val="21"/>
                <w:szCs w:val="21"/>
                <w:highlight w:val="none"/>
                <w:lang w:val="en-US" w:eastAsia="zh-CN"/>
              </w:rPr>
              <w:t>0.15</w:t>
            </w:r>
          </w:p>
        </w:tc>
        <w:tc>
          <w:tcPr>
            <w:tcW w:w="1276"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0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55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761" w:type="dxa"/>
            <w:noWrap w:val="0"/>
            <w:vAlign w:val="center"/>
          </w:tcPr>
          <w:p>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rPr>
                <w:rFonts w:hint="default" w:ascii="Times New Roman" w:hAnsi="Times New Roman" w:eastAsia="宋体" w:cs="Times New Roman"/>
                <w:b w:val="0"/>
                <w:bCs w:val="0"/>
                <w:i w:val="0"/>
                <w:iCs w:val="0"/>
                <w:color w:val="auto"/>
                <w:spacing w:val="0"/>
                <w:kern w:val="0"/>
                <w:sz w:val="21"/>
                <w:szCs w:val="21"/>
                <w:highlight w:val="none"/>
                <w:lang w:val="en-US" w:eastAsia="zh-CN"/>
              </w:rPr>
            </w:pPr>
            <w:r>
              <w:rPr>
                <w:rFonts w:hint="default" w:ascii="Times New Roman" w:hAnsi="Times New Roman" w:eastAsia="宋体" w:cs="Times New Roman"/>
                <w:b w:val="0"/>
                <w:bCs w:val="0"/>
                <w:i w:val="0"/>
                <w:iCs w:val="0"/>
                <w:color w:val="auto"/>
                <w:spacing w:val="0"/>
                <w:kern w:val="0"/>
                <w:sz w:val="21"/>
                <w:szCs w:val="21"/>
                <w:highlight w:val="none"/>
                <w:lang w:val="en-US" w:eastAsia="zh-CN"/>
              </w:rPr>
              <w:t>/</w:t>
            </w:r>
          </w:p>
        </w:tc>
        <w:tc>
          <w:tcPr>
            <w:tcW w:w="1766"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c>
          <w:tcPr>
            <w:tcW w:w="1019" w:type="dxa"/>
            <w:noWrap w:val="0"/>
            <w:vAlign w:val="center"/>
          </w:tcPr>
          <w:p>
            <w:pPr>
              <w:pStyle w:val="74"/>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bl>
    <w:p>
      <w:pPr>
        <w:pStyle w:val="57"/>
        <w:spacing w:before="192" w:beforeLines="80" w:after="24"/>
        <w:jc w:val="left"/>
        <w:rPr>
          <w:rFonts w:hint="default" w:ascii="Times New Roman" w:hAnsi="Times New Roman" w:cs="Times New Roman"/>
          <w:snapToGrid w:val="0"/>
          <w:color w:val="auto"/>
          <w:spacing w:val="-6"/>
          <w:kern w:val="21"/>
          <w:szCs w:val="21"/>
        </w:rPr>
      </w:pPr>
      <w:r>
        <w:rPr>
          <w:rFonts w:hint="default" w:ascii="Times New Roman" w:hAnsi="Times New Roman" w:cs="Times New Roman"/>
          <w:snapToGrid w:val="0"/>
          <w:color w:val="auto"/>
          <w:kern w:val="21"/>
          <w:szCs w:val="21"/>
        </w:rPr>
        <w:t>注：</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3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③</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4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④</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5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⑤</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7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⑦</w:t>
      </w:r>
      <w:r>
        <w:rPr>
          <w:rFonts w:hint="default" w:ascii="Times New Roman" w:hAnsi="Times New Roman" w:cs="Times New Roman"/>
          <w:snapToGrid w:val="0"/>
          <w:color w:val="auto"/>
          <w:spacing w:val="-6"/>
          <w:kern w:val="21"/>
          <w:szCs w:val="21"/>
        </w:rPr>
        <w:fldChar w:fldCharType="end"/>
      </w:r>
      <w:r>
        <w:rPr>
          <w:rFonts w:hint="default" w:ascii="Times New Roman" w:hAnsi="Times New Roman" w:cs="Times New Roman"/>
          <w:snapToGrid w:val="0"/>
          <w:color w:val="auto"/>
          <w:spacing w:val="-6"/>
          <w:kern w:val="21"/>
          <w:szCs w:val="21"/>
        </w:rPr>
        <w:t>=</w:t>
      </w:r>
      <w:r>
        <w:rPr>
          <w:rFonts w:hint="default" w:ascii="Times New Roman" w:hAnsi="Times New Roman" w:cs="Times New Roman"/>
          <w:snapToGrid w:val="0"/>
          <w:color w:val="auto"/>
          <w:spacing w:val="-16"/>
          <w:kern w:val="21"/>
          <w:szCs w:val="21"/>
        </w:rPr>
        <w:fldChar w:fldCharType="begin"/>
      </w:r>
      <w:r>
        <w:rPr>
          <w:rFonts w:hint="default" w:ascii="Times New Roman" w:hAnsi="Times New Roman" w:cs="Times New Roman"/>
          <w:snapToGrid w:val="0"/>
          <w:color w:val="auto"/>
          <w:spacing w:val="-16"/>
          <w:kern w:val="21"/>
          <w:szCs w:val="21"/>
        </w:rPr>
        <w:instrText xml:space="preserve"> = 6 \* GB3 \* MERGEFORMAT </w:instrText>
      </w:r>
      <w:r>
        <w:rPr>
          <w:rFonts w:hint="default" w:ascii="Times New Roman" w:hAnsi="Times New Roman" w:cs="Times New Roman"/>
          <w:snapToGrid w:val="0"/>
          <w:color w:val="auto"/>
          <w:spacing w:val="-16"/>
          <w:kern w:val="21"/>
          <w:szCs w:val="21"/>
        </w:rPr>
        <w:fldChar w:fldCharType="separate"/>
      </w:r>
      <w:r>
        <w:rPr>
          <w:rFonts w:hint="default" w:ascii="Times New Roman" w:hAnsi="Times New Roman" w:cs="Times New Roman"/>
          <w:color w:val="auto"/>
          <w:szCs w:val="21"/>
        </w:rPr>
        <w:t>⑥</w:t>
      </w:r>
      <w:r>
        <w:rPr>
          <w:rFonts w:hint="default" w:ascii="Times New Roman" w:hAnsi="Times New Roman" w:cs="Times New Roman"/>
          <w:snapToGrid w:val="0"/>
          <w:color w:val="auto"/>
          <w:spacing w:val="-16"/>
          <w:kern w:val="21"/>
          <w:szCs w:val="21"/>
        </w:rPr>
        <w:fldChar w:fldCharType="end"/>
      </w:r>
      <w:r>
        <w:rPr>
          <w:rFonts w:hint="default" w:ascii="Times New Roman" w:hAnsi="Times New Roman" w:cs="Times New Roman"/>
          <w:snapToGrid w:val="0"/>
          <w:color w:val="auto"/>
          <w:spacing w:val="-16"/>
          <w:kern w:val="21"/>
          <w:szCs w:val="21"/>
        </w:rPr>
        <w:t>-</w:t>
      </w:r>
      <w:r>
        <w:rPr>
          <w:rFonts w:hint="default" w:ascii="Times New Roman" w:hAnsi="Times New Roman" w:cs="Times New Roman"/>
          <w:snapToGrid w:val="0"/>
          <w:color w:val="auto"/>
          <w:spacing w:val="-6"/>
          <w:kern w:val="21"/>
          <w:szCs w:val="21"/>
        </w:rPr>
        <w:fldChar w:fldCharType="begin"/>
      </w:r>
      <w:r>
        <w:rPr>
          <w:rFonts w:hint="default" w:ascii="Times New Roman" w:hAnsi="Times New Roman" w:cs="Times New Roman"/>
          <w:snapToGrid w:val="0"/>
          <w:color w:val="auto"/>
          <w:spacing w:val="-6"/>
          <w:kern w:val="21"/>
          <w:szCs w:val="21"/>
        </w:rPr>
        <w:instrText xml:space="preserve"> = 1 \* GB3 \* MERGEFORMAT </w:instrText>
      </w:r>
      <w:r>
        <w:rPr>
          <w:rFonts w:hint="default" w:ascii="Times New Roman" w:hAnsi="Times New Roman" w:cs="Times New Roman"/>
          <w:snapToGrid w:val="0"/>
          <w:color w:val="auto"/>
          <w:spacing w:val="-6"/>
          <w:kern w:val="21"/>
          <w:szCs w:val="21"/>
        </w:rPr>
        <w:fldChar w:fldCharType="separate"/>
      </w:r>
      <w:r>
        <w:rPr>
          <w:rFonts w:hint="default" w:ascii="Times New Roman" w:hAnsi="Times New Roman" w:cs="Times New Roman"/>
          <w:color w:val="auto"/>
          <w:szCs w:val="21"/>
        </w:rPr>
        <w:t>①</w:t>
      </w:r>
      <w:r>
        <w:rPr>
          <w:rFonts w:hint="default" w:ascii="Times New Roman" w:hAnsi="Times New Roman" w:cs="Times New Roman"/>
          <w:snapToGrid w:val="0"/>
          <w:color w:val="auto"/>
          <w:spacing w:val="-6"/>
          <w:kern w:val="21"/>
          <w:szCs w:val="21"/>
        </w:rPr>
        <w:fldChar w:fldCharType="end"/>
      </w:r>
    </w:p>
    <w:p>
      <w:pPr>
        <w:rPr>
          <w:rFonts w:hint="default" w:ascii="Times New Roman" w:hAnsi="Times New Roman" w:eastAsia="黑体" w:cs="Times New Roman"/>
          <w:color w:val="auto"/>
        </w:rPr>
        <w:sectPr>
          <w:footerReference r:id="rId6" w:type="default"/>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r>
        <w:drawing>
          <wp:anchor distT="0" distB="0" distL="114300" distR="114300" simplePos="0" relativeHeight="251663360" behindDoc="0" locked="0" layoutInCell="1" allowOverlap="1">
            <wp:simplePos x="0" y="0"/>
            <wp:positionH relativeFrom="column">
              <wp:posOffset>6896100</wp:posOffset>
            </wp:positionH>
            <wp:positionV relativeFrom="paragraph">
              <wp:posOffset>156210</wp:posOffset>
            </wp:positionV>
            <wp:extent cx="855345" cy="829945"/>
            <wp:effectExtent l="0" t="0" r="1905" b="8255"/>
            <wp:wrapNone/>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40"/>
                    <a:stretch>
                      <a:fillRect/>
                    </a:stretch>
                  </pic:blipFill>
                  <pic:spPr>
                    <a:xfrm>
                      <a:off x="0" y="0"/>
                      <a:ext cx="855345" cy="829945"/>
                    </a:xfrm>
                    <a:prstGeom prst="rect">
                      <a:avLst/>
                    </a:prstGeom>
                    <a:noFill/>
                    <a:ln>
                      <a:noFill/>
                    </a:ln>
                  </pic:spPr>
                </pic:pic>
              </a:graphicData>
            </a:graphic>
          </wp:anchor>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rPr>
      </w:pPr>
      <w:r>
        <w:rPr>
          <w:rFonts w:hint="default" w:ascii="Times New Roman" w:hAnsi="Times New Roman" w:cs="Times New Roman"/>
          <w:color w:val="auto"/>
          <w:sz w:val="24"/>
        </w:rPr>
        <mc:AlternateContent>
          <mc:Choice Requires="wps">
            <w:drawing>
              <wp:anchor distT="0" distB="0" distL="114300" distR="114300" simplePos="0" relativeHeight="251661312" behindDoc="0" locked="0" layoutInCell="1" allowOverlap="1">
                <wp:simplePos x="0" y="0"/>
                <wp:positionH relativeFrom="column">
                  <wp:posOffset>4504690</wp:posOffset>
                </wp:positionH>
                <wp:positionV relativeFrom="paragraph">
                  <wp:posOffset>2042795</wp:posOffset>
                </wp:positionV>
                <wp:extent cx="995045" cy="285750"/>
                <wp:effectExtent l="165100" t="5080" r="20955" b="147320"/>
                <wp:wrapNone/>
                <wp:docPr id="7" name="自选图形 195"/>
                <wp:cNvGraphicFramePr/>
                <a:graphic xmlns:a="http://schemas.openxmlformats.org/drawingml/2006/main">
                  <a:graphicData uri="http://schemas.microsoft.com/office/word/2010/wordprocessingShape">
                    <wps:wsp>
                      <wps:cNvSpPr/>
                      <wps:spPr>
                        <a:xfrm>
                          <a:off x="0" y="0"/>
                          <a:ext cx="995045" cy="285750"/>
                        </a:xfrm>
                        <a:prstGeom prst="wedgeRectCallout">
                          <a:avLst>
                            <a:gd name="adj1" fmla="val -62884"/>
                            <a:gd name="adj2" fmla="val 91111"/>
                          </a:avLst>
                        </a:prstGeom>
                        <a:noFill/>
                        <a:ln w="6350" cap="flat" cmpd="sng">
                          <a:solidFill>
                            <a:srgbClr val="FF0000"/>
                          </a:solidFill>
                          <a:prstDash val="solid"/>
                          <a:miter/>
                          <a:headEnd type="none" w="med" len="med"/>
                          <a:tailEnd type="none" w="med" len="med"/>
                        </a:ln>
                      </wps:spPr>
                      <wps:txbx>
                        <w:txbxContent>
                          <w:p>
                            <w:pPr>
                              <w:rPr>
                                <w:rFonts w:hint="eastAsia" w:eastAsia="宋体"/>
                                <w:color w:val="FF0000"/>
                                <w:lang w:eastAsia="zh-CN"/>
                              </w:rPr>
                            </w:pPr>
                            <w:r>
                              <w:rPr>
                                <w:rFonts w:hint="eastAsia"/>
                                <w:color w:val="FF0000"/>
                                <w:lang w:eastAsia="zh-CN"/>
                              </w:rPr>
                              <w:t>项目所在地</w:t>
                            </w:r>
                          </w:p>
                        </w:txbxContent>
                      </wps:txbx>
                      <wps:bodyPr vert="horz" wrap="square" anchor="t" anchorCtr="0" upright="1"/>
                    </wps:wsp>
                  </a:graphicData>
                </a:graphic>
              </wp:anchor>
            </w:drawing>
          </mc:Choice>
          <mc:Fallback>
            <w:pict>
              <v:shape id="自选图形 195" o:spid="_x0000_s1026" o:spt="61" type="#_x0000_t61" style="position:absolute;left:0pt;margin-left:354.7pt;margin-top:160.85pt;height:22.5pt;width:78.35pt;z-index:251661312;mso-width-relative:page;mso-height-relative:page;" filled="f" stroked="t" coordsize="21600,21600" o:gfxdata="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&#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z4ZwzbAAAACwEAAA8AAAAAAAAAAQAgAAAAIgAAAGRy&#10;cy9kb3ducmV2LnhtbFBLAQIUABQAAAAIAIdO4kDb0t8sOwIAAEoEAAAOAAAAAAAAAAEAIAAAACoB&#10;AABkcnMvZTJvRG9jLnhtbFBLBQYAAAAABgAGAFkBAADXBQAAAAA=&#10;" adj="-2783,30480">
                <v:fill on="f" focussize="0,0"/>
                <v:stroke weight="0.5pt" color="#FF0000" joinstyle="miter"/>
                <v:imagedata o:title=""/>
                <o:lock v:ext="edit" aspectratio="f"/>
                <v:textbox>
                  <w:txbxContent>
                    <w:p>
                      <w:pPr>
                        <w:rPr>
                          <w:rFonts w:hint="eastAsia" w:eastAsia="宋体"/>
                          <w:color w:val="FF0000"/>
                          <w:lang w:eastAsia="zh-CN"/>
                        </w:rPr>
                      </w:pPr>
                      <w:r>
                        <w:rPr>
                          <w:rFonts w:hint="eastAsia"/>
                          <w:color w:val="FF0000"/>
                          <w:lang w:eastAsia="zh-CN"/>
                        </w:rPr>
                        <w:t>项目所在地</w:t>
                      </w:r>
                    </w:p>
                  </w:txbxContent>
                </v:textbox>
              </v:shape>
            </w:pict>
          </mc:Fallback>
        </mc:AlternateContent>
      </w:r>
      <w:r>
        <w:drawing>
          <wp:inline distT="0" distB="0" distL="114300" distR="114300">
            <wp:extent cx="7709535" cy="5381625"/>
            <wp:effectExtent l="0" t="0" r="5715" b="9525"/>
            <wp:docPr id="23"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0"/>
                    <pic:cNvPicPr>
                      <a:picLocks noChangeAspect="1"/>
                    </pic:cNvPicPr>
                  </pic:nvPicPr>
                  <pic:blipFill>
                    <a:blip r:embed="rId41"/>
                    <a:stretch>
                      <a:fillRect/>
                    </a:stretch>
                  </pic:blipFill>
                  <pic:spPr>
                    <a:xfrm>
                      <a:off x="0" y="0"/>
                      <a:ext cx="7709535" cy="5381625"/>
                    </a:xfrm>
                    <a:prstGeom prst="rect">
                      <a:avLst/>
                    </a:prstGeom>
                    <a:noFill/>
                    <a:ln>
                      <a:noFill/>
                    </a:ln>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640" w:firstLineChars="200"/>
        <w:jc w:val="center"/>
        <w:textAlignment w:val="auto"/>
        <w:outlineLvl w:val="0"/>
        <w:rPr>
          <w:rFonts w:hint="default" w:ascii="Times New Roman" w:hAnsi="Times New Roman" w:cs="Times New Roman"/>
          <w:color w:val="auto"/>
        </w:rPr>
      </w:pPr>
      <w:bookmarkStart w:id="50" w:name="_Toc30647"/>
      <w:bookmarkStart w:id="51" w:name="_Toc23128"/>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lang w:eastAsia="zh-CN"/>
        </w:rPr>
        <w:t>图</w:t>
      </w:r>
      <w:r>
        <w:rPr>
          <w:rFonts w:hint="default" w:ascii="Times New Roman" w:hAnsi="Times New Roman" w:eastAsia="黑体" w:cs="Times New Roman"/>
          <w:snapToGrid w:val="0"/>
          <w:color w:val="auto"/>
          <w:sz w:val="32"/>
          <w:szCs w:val="32"/>
          <w:lang w:val="en-US" w:eastAsia="zh-CN"/>
        </w:rPr>
        <w:t>1 本项目地理位置图</w:t>
      </w:r>
      <w:bookmarkEnd w:id="50"/>
      <w:bookmarkEnd w:id="51"/>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default" w:ascii="Times New Roman" w:hAnsi="Times New Roman" w:cs="Times New Roman"/>
          <w:color w:val="auto"/>
          <w:lang w:val="en-US" w:eastAsia="zh-CN"/>
        </w:rPr>
        <w:sectPr>
          <w:footerReference r:id="rId7" w:type="default"/>
          <w:pgSz w:w="16838" w:h="11906" w:orient="landscape"/>
          <w:pgMar w:top="720" w:right="720" w:bottom="720" w:left="72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9"/>
        <w:rPr>
          <w:rFonts w:hint="eastAsia" w:ascii="Times New Roman" w:hAnsi="Times New Roman" w:eastAsia="宋体" w:cs="Times New Roman"/>
          <w:snapToGrid w:val="0"/>
          <w:color w:val="auto"/>
          <w:sz w:val="32"/>
          <w:szCs w:val="32"/>
          <w:lang w:eastAsia="zh-CN"/>
        </w:rPr>
      </w:pPr>
      <w:bookmarkStart w:id="52" w:name="_Toc23849"/>
      <w:r>
        <w:drawing>
          <wp:inline distT="0" distB="0" distL="114300" distR="114300">
            <wp:extent cx="6186170" cy="7320915"/>
            <wp:effectExtent l="0" t="0" r="5080" b="13335"/>
            <wp:docPr id="24" name="图片 24" descr="厂区平面图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厂区平面图 (1)"/>
                    <pic:cNvPicPr>
                      <a:picLocks noChangeAspect="1"/>
                    </pic:cNvPicPr>
                  </pic:nvPicPr>
                  <pic:blipFill>
                    <a:blip r:embed="rId42"/>
                    <a:stretch>
                      <a:fillRect/>
                    </a:stretch>
                  </pic:blipFill>
                  <pic:spPr>
                    <a:xfrm>
                      <a:off x="0" y="0"/>
                      <a:ext cx="6186170" cy="7320915"/>
                    </a:xfrm>
                    <a:prstGeom prst="rect">
                      <a:avLst/>
                    </a:prstGeom>
                  </pic:spPr>
                </pic:pic>
              </a:graphicData>
            </a:graphic>
          </wp:inline>
        </w:drawing>
      </w:r>
    </w:p>
    <w:p>
      <w:pPr>
        <w:pStyle w:val="2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jc w:val="center"/>
        <w:textAlignment w:val="auto"/>
        <w:outlineLvl w:val="0"/>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bookmarkStart w:id="53" w:name="_Toc13979"/>
      <w:r>
        <w:rPr>
          <w:rFonts w:hint="default" w:ascii="Times New Roman" w:hAnsi="Times New Roman" w:eastAsia="黑体" w:cs="Times New Roman"/>
          <w:snapToGrid w:val="0"/>
          <w:color w:val="auto"/>
          <w:sz w:val="32"/>
          <w:szCs w:val="32"/>
        </w:rPr>
        <w:t>附</w:t>
      </w:r>
      <w:r>
        <w:rPr>
          <w:rFonts w:hint="default" w:ascii="Times New Roman" w:hAnsi="Times New Roman" w:eastAsia="黑体" w:cs="Times New Roman"/>
          <w:snapToGrid w:val="0"/>
          <w:color w:val="auto"/>
          <w:sz w:val="32"/>
          <w:szCs w:val="32"/>
          <w:highlight w:val="none"/>
          <w:lang w:eastAsia="zh-CN"/>
        </w:rPr>
        <w:t>图</w:t>
      </w:r>
      <w:r>
        <w:rPr>
          <w:rFonts w:hint="default" w:ascii="Times New Roman" w:hAnsi="Times New Roman" w:eastAsia="黑体" w:cs="Times New Roman"/>
          <w:snapToGrid w:val="0"/>
          <w:color w:val="auto"/>
          <w:sz w:val="32"/>
          <w:szCs w:val="32"/>
          <w:highlight w:val="none"/>
          <w:lang w:val="en-US" w:eastAsia="zh-CN"/>
        </w:rPr>
        <w:t>2 厂区总平面布置图</w:t>
      </w:r>
      <w:bookmarkEnd w:id="52"/>
      <w:bookmarkEnd w:id="53"/>
    </w:p>
    <w:p>
      <w:pPr>
        <w:pStyle w:val="3"/>
        <w:bidi w:val="0"/>
        <w:rPr>
          <w:rFonts w:hint="default" w:ascii="Times New Roman" w:hAnsi="Times New Roman" w:cs="Times New Roman"/>
          <w:color w:val="auto"/>
          <w:lang w:val="en-US" w:eastAsia="zh-CN"/>
        </w:rPr>
      </w:pPr>
      <w:bookmarkStart w:id="54" w:name="_Toc7268"/>
      <w:bookmarkStart w:id="55" w:name="_Toc15650"/>
      <w:r>
        <w:rPr>
          <w:rFonts w:hint="default" w:ascii="Times New Roman" w:hAnsi="Times New Roman" w:cs="Times New Roman"/>
          <w:color w:val="auto"/>
          <w:lang w:val="en-US" w:eastAsia="zh-CN"/>
        </w:rPr>
        <w:t>附件1 营业执照</w:t>
      </w:r>
      <w:bookmarkEnd w:id="54"/>
      <w:bookmarkEnd w:id="55"/>
    </w:p>
    <w:p>
      <w:pPr>
        <w:bidi w:val="0"/>
        <w:jc w:val="center"/>
        <w:rPr>
          <w:rFonts w:hint="default" w:ascii="Times New Roman" w:hAnsi="Times New Roman" w:cs="Times New Roman"/>
          <w:color w:val="auto"/>
          <w:lang w:val="en-US" w:eastAsia="zh-CN"/>
        </w:rPr>
      </w:pPr>
    </w:p>
    <w:p>
      <w:pPr>
        <w:pStyle w:val="36"/>
        <w:jc w:val="center"/>
        <w:rPr>
          <w:rFonts w:hint="default" w:ascii="Times New Roman" w:hAnsi="Times New Roman" w:cs="Times New Roman"/>
          <w:color w:val="auto"/>
          <w:lang w:eastAsia="zh-CN"/>
        </w:rPr>
      </w:pPr>
    </w:p>
    <w:p>
      <w:pPr>
        <w:rPr>
          <w:rFonts w:hint="default" w:ascii="Times New Roman" w:hAnsi="Times New Roman" w:cs="Times New Roman"/>
          <w:color w:val="auto"/>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27"/>
        <w:ind w:left="0" w:leftChars="0" w:firstLine="0" w:firstLineChars="0"/>
        <w:outlineLvl w:val="0"/>
        <w:rPr>
          <w:rFonts w:hint="default" w:ascii="Times New Roman" w:hAnsi="Times New Roman" w:eastAsia="黑体" w:cs="Times New Roman"/>
          <w:b/>
          <w:bCs/>
          <w:color w:val="auto"/>
          <w:kern w:val="44"/>
          <w:sz w:val="30"/>
          <w:szCs w:val="30"/>
          <w:lang w:val="en-US" w:eastAsia="zh-CN" w:bidi="ar-SA"/>
        </w:rPr>
      </w:pPr>
      <w:bookmarkStart w:id="56" w:name="_Toc17432"/>
      <w:r>
        <w:rPr>
          <w:rFonts w:hint="default" w:ascii="Times New Roman" w:hAnsi="Times New Roman" w:eastAsia="黑体" w:cs="Times New Roman"/>
          <w:b/>
          <w:bCs/>
          <w:color w:val="auto"/>
          <w:kern w:val="44"/>
          <w:sz w:val="30"/>
          <w:szCs w:val="30"/>
          <w:lang w:val="en-US" w:eastAsia="zh-CN" w:bidi="ar-SA"/>
        </w:rPr>
        <w:t>附件</w:t>
      </w:r>
      <w:r>
        <w:rPr>
          <w:rFonts w:hint="eastAsia" w:eastAsia="黑体" w:cs="Times New Roman"/>
          <w:b/>
          <w:bCs/>
          <w:color w:val="auto"/>
          <w:kern w:val="44"/>
          <w:sz w:val="30"/>
          <w:szCs w:val="30"/>
          <w:lang w:val="en-US" w:eastAsia="zh-CN" w:bidi="ar-SA"/>
        </w:rPr>
        <w:t>2</w:t>
      </w:r>
      <w:r>
        <w:rPr>
          <w:rFonts w:hint="default" w:ascii="Times New Roman" w:hAnsi="Times New Roman" w:eastAsia="黑体" w:cs="Times New Roman"/>
          <w:b/>
          <w:bCs/>
          <w:color w:val="auto"/>
          <w:kern w:val="44"/>
          <w:sz w:val="30"/>
          <w:szCs w:val="30"/>
          <w:lang w:val="en-US" w:eastAsia="zh-CN" w:bidi="ar-SA"/>
        </w:rPr>
        <w:t xml:space="preserve"> </w:t>
      </w:r>
      <w:r>
        <w:rPr>
          <w:rFonts w:hint="eastAsia" w:eastAsia="黑体" w:cs="Times New Roman"/>
          <w:b/>
          <w:bCs/>
          <w:color w:val="auto"/>
          <w:kern w:val="44"/>
          <w:sz w:val="30"/>
          <w:szCs w:val="30"/>
          <w:lang w:val="en-US" w:eastAsia="zh-CN" w:bidi="ar-SA"/>
        </w:rPr>
        <w:t>原有环保手续</w:t>
      </w:r>
      <w:bookmarkEnd w:id="56"/>
    </w:p>
    <w:p>
      <w:pPr>
        <w:tabs>
          <w:tab w:val="center" w:pos="4873"/>
        </w:tabs>
        <w:bidi w:val="0"/>
        <w:jc w:val="left"/>
        <w:rPr>
          <w:rFonts w:hint="default"/>
          <w:lang w:eastAsia="zh-CN"/>
        </w:rPr>
      </w:pPr>
    </w:p>
    <w:p>
      <w:pPr>
        <w:tabs>
          <w:tab w:val="center" w:pos="4873"/>
        </w:tabs>
        <w:bidi w:val="0"/>
        <w:jc w:val="left"/>
        <w:rPr>
          <w:rFonts w:hint="default"/>
          <w:lang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7" w:name="_Toc9031"/>
      <w:bookmarkStart w:id="58" w:name="_Toc16509"/>
      <w:r>
        <w:rPr>
          <w:rFonts w:hint="default" w:ascii="Times New Roman" w:hAnsi="Times New Roman" w:cs="Times New Roman"/>
          <w:color w:val="auto"/>
          <w:lang w:val="en-US" w:eastAsia="zh-CN"/>
        </w:rPr>
        <w:t>附件</w:t>
      </w:r>
      <w:r>
        <w:rPr>
          <w:rFonts w:hint="eastAsia" w:cs="Times New Roman"/>
          <w:color w:val="auto"/>
          <w:lang w:val="en-US" w:eastAsia="zh-CN"/>
        </w:rPr>
        <w:t>3</w:t>
      </w:r>
      <w:r>
        <w:rPr>
          <w:rFonts w:hint="default" w:ascii="Times New Roman" w:hAnsi="Times New Roman" w:cs="Times New Roman"/>
          <w:color w:val="auto"/>
          <w:lang w:val="en-US" w:eastAsia="zh-CN"/>
        </w:rPr>
        <w:t xml:space="preserve"> 燃料分析单</w:t>
      </w:r>
      <w:bookmarkEnd w:id="57"/>
      <w:bookmarkEnd w:id="58"/>
    </w:p>
    <w:p>
      <w:pPr>
        <w:bidi w:val="0"/>
        <w:jc w:val="center"/>
        <w:rPr>
          <w:rFonts w:hint="default" w:ascii="Times New Roman" w:hAnsi="Times New Roman" w:eastAsia="黑体" w:cs="Times New Roman"/>
          <w:snapToGrid w:val="0"/>
          <w:color w:val="auto"/>
          <w:sz w:val="32"/>
          <w:szCs w:val="32"/>
          <w:lang w:val="en-US" w:eastAsia="zh-CN"/>
        </w:rPr>
      </w:pPr>
    </w:p>
    <w:p>
      <w:pPr>
        <w:bidi w:val="0"/>
        <w:jc w:val="center"/>
        <w:rPr>
          <w:rFonts w:hint="default" w:ascii="Times New Roman" w:hAnsi="Times New Roman" w:eastAsia="黑体" w:cs="Times New Roman"/>
          <w:snapToGrid w:val="0"/>
          <w:color w:val="auto"/>
          <w:sz w:val="32"/>
          <w:szCs w:val="32"/>
          <w:lang w:val="en-US" w:eastAsia="zh-CN"/>
        </w:rPr>
        <w:sectPr>
          <w:pgSz w:w="11906" w:h="16838"/>
          <w:pgMar w:top="1440" w:right="1080" w:bottom="1440" w:left="1080" w:header="851" w:footer="851" w:gutter="0"/>
          <w:pgBorders>
            <w:top w:val="none" w:sz="0" w:space="0"/>
            <w:left w:val="none" w:sz="0" w:space="0"/>
            <w:bottom w:val="none" w:sz="0" w:space="0"/>
            <w:right w:val="none" w:sz="0" w:space="0"/>
          </w:pgBorders>
          <w:pgNumType w:fmt="decimal"/>
          <w:cols w:space="720" w:num="1"/>
          <w:docGrid w:linePitch="312" w:charSpace="0"/>
        </w:sectPr>
      </w:pPr>
    </w:p>
    <w:p>
      <w:pPr>
        <w:pStyle w:val="3"/>
        <w:bidi w:val="0"/>
        <w:rPr>
          <w:rFonts w:hint="default" w:ascii="Times New Roman" w:hAnsi="Times New Roman" w:cs="Times New Roman"/>
          <w:color w:val="auto"/>
          <w:lang w:val="en-US" w:eastAsia="zh-CN"/>
        </w:rPr>
      </w:pPr>
      <w:bookmarkStart w:id="59" w:name="_Toc13504"/>
      <w:bookmarkStart w:id="60" w:name="_Toc23724"/>
      <w:r>
        <w:rPr>
          <w:rFonts w:hint="default" w:ascii="Times New Roman" w:hAnsi="Times New Roman" w:cs="Times New Roman"/>
          <w:color w:val="auto"/>
          <w:lang w:val="en-US" w:eastAsia="zh-CN"/>
        </w:rPr>
        <w:t>附件</w:t>
      </w:r>
      <w:r>
        <w:rPr>
          <w:rFonts w:hint="eastAsia" w:cs="Times New Roman"/>
          <w:color w:val="auto"/>
          <w:lang w:val="en-US" w:eastAsia="zh-CN"/>
        </w:rPr>
        <w:t>4</w:t>
      </w:r>
      <w:r>
        <w:rPr>
          <w:rFonts w:hint="default" w:ascii="Times New Roman" w:hAnsi="Times New Roman" w:cs="Times New Roman"/>
          <w:color w:val="auto"/>
          <w:lang w:val="en-US" w:eastAsia="zh-CN"/>
        </w:rPr>
        <w:t xml:space="preserve"> </w:t>
      </w:r>
      <w:r>
        <w:rPr>
          <w:rFonts w:hint="eastAsia" w:cs="Times New Roman"/>
          <w:color w:val="auto"/>
          <w:lang w:val="en-US" w:eastAsia="zh-CN"/>
        </w:rPr>
        <w:t>本项目现状</w:t>
      </w:r>
      <w:r>
        <w:rPr>
          <w:rFonts w:hint="default" w:ascii="Times New Roman" w:hAnsi="Times New Roman" w:cs="Times New Roman"/>
          <w:color w:val="auto"/>
          <w:lang w:val="en-US" w:eastAsia="zh-CN"/>
        </w:rPr>
        <w:t>监测报告</w:t>
      </w:r>
      <w:bookmarkEnd w:id="59"/>
      <w:bookmarkEnd w:id="60"/>
    </w:p>
    <w:p>
      <w:pPr>
        <w:rPr>
          <w:rFonts w:hint="default" w:ascii="Times New Roman" w:hAnsi="Times New Roman" w:cs="Times New Roman"/>
          <w:color w:val="auto"/>
          <w:lang w:val="en-US" w:eastAsia="zh-CN"/>
        </w:rPr>
      </w:pPr>
    </w:p>
    <w:p>
      <w:pPr>
        <w:rPr>
          <w:rFonts w:hint="default" w:ascii="Times New Roman" w:hAnsi="Times New Roman" w:eastAsia="宋体" w:cs="Times New Roman"/>
          <w:color w:val="auto"/>
          <w:lang w:eastAsia="zh-CN"/>
        </w:rPr>
      </w:pPr>
    </w:p>
    <w:p>
      <w:pPr>
        <w:pStyle w:val="36"/>
        <w:rPr>
          <w:rFonts w:hint="default" w:ascii="Times New Roman" w:hAnsi="Times New Roman" w:cs="Times New Roman"/>
          <w:color w:val="auto"/>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4724400" cy="7067550"/>
            <wp:effectExtent l="0" t="0" r="0" b="0"/>
            <wp:docPr id="3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1"/>
                    <pic:cNvPicPr>
                      <a:picLocks noChangeAspect="1"/>
                    </pic:cNvPicPr>
                  </pic:nvPicPr>
                  <pic:blipFill>
                    <a:blip r:embed="rId43"/>
                    <a:stretch>
                      <a:fillRect/>
                    </a:stretch>
                  </pic:blipFill>
                  <pic:spPr>
                    <a:xfrm>
                      <a:off x="0" y="0"/>
                      <a:ext cx="4724400" cy="7067550"/>
                    </a:xfrm>
                    <a:prstGeom prst="rect">
                      <a:avLst/>
                    </a:prstGeom>
                    <a:noFill/>
                    <a:ln>
                      <a:noFill/>
                    </a:ln>
                  </pic:spPr>
                </pic:pic>
              </a:graphicData>
            </a:graphic>
          </wp:inline>
        </w:drawing>
      </w:r>
      <w:r>
        <w:drawing>
          <wp:inline distT="0" distB="0" distL="114300" distR="114300">
            <wp:extent cx="4962525" cy="7239000"/>
            <wp:effectExtent l="0" t="0" r="9525" b="0"/>
            <wp:docPr id="3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12"/>
                    <pic:cNvPicPr>
                      <a:picLocks noChangeAspect="1"/>
                    </pic:cNvPicPr>
                  </pic:nvPicPr>
                  <pic:blipFill>
                    <a:blip r:embed="rId44"/>
                    <a:stretch>
                      <a:fillRect/>
                    </a:stretch>
                  </pic:blipFill>
                  <pic:spPr>
                    <a:xfrm>
                      <a:off x="0" y="0"/>
                      <a:ext cx="4962525" cy="7239000"/>
                    </a:xfrm>
                    <a:prstGeom prst="rect">
                      <a:avLst/>
                    </a:prstGeom>
                    <a:noFill/>
                    <a:ln>
                      <a:noFill/>
                    </a:ln>
                  </pic:spPr>
                </pic:pic>
              </a:graphicData>
            </a:graphic>
          </wp:inline>
        </w:drawing>
      </w:r>
      <w:r>
        <w:drawing>
          <wp:inline distT="0" distB="0" distL="114300" distR="114300">
            <wp:extent cx="5124450" cy="6991350"/>
            <wp:effectExtent l="0" t="0" r="0" b="0"/>
            <wp:docPr id="4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3"/>
                    <pic:cNvPicPr>
                      <a:picLocks noChangeAspect="1"/>
                    </pic:cNvPicPr>
                  </pic:nvPicPr>
                  <pic:blipFill>
                    <a:blip r:embed="rId45"/>
                    <a:stretch>
                      <a:fillRect/>
                    </a:stretch>
                  </pic:blipFill>
                  <pic:spPr>
                    <a:xfrm>
                      <a:off x="0" y="0"/>
                      <a:ext cx="5124450" cy="6991350"/>
                    </a:xfrm>
                    <a:prstGeom prst="rect">
                      <a:avLst/>
                    </a:prstGeom>
                    <a:noFill/>
                    <a:ln>
                      <a:noFill/>
                    </a:ln>
                  </pic:spPr>
                </pic:pic>
              </a:graphicData>
            </a:graphic>
          </wp:inline>
        </w:drawing>
      </w:r>
      <w:r>
        <w:drawing>
          <wp:inline distT="0" distB="0" distL="114300" distR="114300">
            <wp:extent cx="5095875" cy="7172325"/>
            <wp:effectExtent l="0" t="0" r="9525" b="9525"/>
            <wp:docPr id="4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4"/>
                    <pic:cNvPicPr>
                      <a:picLocks noChangeAspect="1"/>
                    </pic:cNvPicPr>
                  </pic:nvPicPr>
                  <pic:blipFill>
                    <a:blip r:embed="rId46"/>
                    <a:stretch>
                      <a:fillRect/>
                    </a:stretch>
                  </pic:blipFill>
                  <pic:spPr>
                    <a:xfrm>
                      <a:off x="0" y="0"/>
                      <a:ext cx="5095875" cy="7172325"/>
                    </a:xfrm>
                    <a:prstGeom prst="rect">
                      <a:avLst/>
                    </a:prstGeom>
                    <a:noFill/>
                    <a:ln>
                      <a:noFill/>
                    </a:ln>
                  </pic:spPr>
                </pic:pic>
              </a:graphicData>
            </a:graphic>
          </wp:inline>
        </w:drawing>
      </w:r>
    </w:p>
    <w:p>
      <w:pPr>
        <w:pStyle w:val="3"/>
        <w:bidi w:val="0"/>
        <w:rPr>
          <w:rFonts w:hint="default" w:ascii="Times New Roman" w:hAnsi="Times New Roman" w:cs="Times New Roman"/>
          <w:color w:val="auto"/>
          <w:lang w:val="en-US" w:eastAsia="zh-CN"/>
        </w:rPr>
      </w:pPr>
      <w:bookmarkStart w:id="61" w:name="_Toc4057"/>
      <w:bookmarkStart w:id="62" w:name="_Toc31022"/>
      <w:r>
        <w:rPr>
          <w:rFonts w:hint="default" w:ascii="Times New Roman" w:hAnsi="Times New Roman" w:cs="Times New Roman"/>
          <w:color w:val="auto"/>
          <w:lang w:val="en-US" w:eastAsia="zh-CN"/>
        </w:rPr>
        <w:t>附件</w:t>
      </w:r>
      <w:r>
        <w:rPr>
          <w:rFonts w:hint="eastAsia" w:cs="Times New Roman"/>
          <w:color w:val="auto"/>
          <w:lang w:val="en-US" w:eastAsia="zh-CN"/>
        </w:rPr>
        <w:t>5</w:t>
      </w:r>
      <w:r>
        <w:rPr>
          <w:rFonts w:hint="default" w:ascii="Times New Roman" w:hAnsi="Times New Roman" w:cs="Times New Roman"/>
          <w:color w:val="auto"/>
          <w:lang w:val="en-US" w:eastAsia="zh-CN"/>
        </w:rPr>
        <w:t xml:space="preserve"> </w:t>
      </w:r>
      <w:r>
        <w:rPr>
          <w:rFonts w:hint="eastAsia" w:cs="Times New Roman"/>
          <w:color w:val="auto"/>
          <w:lang w:val="en-US" w:eastAsia="zh-CN"/>
        </w:rPr>
        <w:t>本项目原有项目</w:t>
      </w:r>
      <w:r>
        <w:rPr>
          <w:rFonts w:hint="default" w:ascii="Times New Roman" w:hAnsi="Times New Roman" w:cs="Times New Roman"/>
          <w:color w:val="auto"/>
          <w:lang w:val="en-US" w:eastAsia="zh-CN"/>
        </w:rPr>
        <w:t>监测报告</w:t>
      </w:r>
      <w:bookmarkEnd w:id="61"/>
    </w:p>
    <w:p>
      <w:pPr>
        <w:rPr>
          <w:rFonts w:hint="default"/>
          <w:lang w:val="en-US" w:eastAsia="zh-CN"/>
        </w:rPr>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5191125" cy="6829425"/>
            <wp:effectExtent l="0" t="0" r="9525" b="9525"/>
            <wp:docPr id="3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24"/>
                    <pic:cNvPicPr>
                      <a:picLocks noChangeAspect="1"/>
                    </pic:cNvPicPr>
                  </pic:nvPicPr>
                  <pic:blipFill>
                    <a:blip r:embed="rId47"/>
                    <a:stretch>
                      <a:fillRect/>
                    </a:stretch>
                  </pic:blipFill>
                  <pic:spPr>
                    <a:xfrm>
                      <a:off x="0" y="0"/>
                      <a:ext cx="5191125" cy="6829425"/>
                    </a:xfrm>
                    <a:prstGeom prst="rect">
                      <a:avLst/>
                    </a:prstGeom>
                    <a:noFill/>
                    <a:ln>
                      <a:noFill/>
                    </a:ln>
                  </pic:spPr>
                </pic:pic>
              </a:graphicData>
            </a:graphic>
          </wp:inline>
        </w:drawing>
      </w:r>
      <w:r>
        <w:drawing>
          <wp:inline distT="0" distB="0" distL="114300" distR="114300">
            <wp:extent cx="5143500" cy="6400800"/>
            <wp:effectExtent l="0" t="0" r="0" b="0"/>
            <wp:docPr id="3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5"/>
                    <pic:cNvPicPr>
                      <a:picLocks noChangeAspect="1"/>
                    </pic:cNvPicPr>
                  </pic:nvPicPr>
                  <pic:blipFill>
                    <a:blip r:embed="rId48"/>
                    <a:stretch>
                      <a:fillRect/>
                    </a:stretch>
                  </pic:blipFill>
                  <pic:spPr>
                    <a:xfrm>
                      <a:off x="0" y="0"/>
                      <a:ext cx="5143500" cy="6400800"/>
                    </a:xfrm>
                    <a:prstGeom prst="rect">
                      <a:avLst/>
                    </a:prstGeom>
                    <a:noFill/>
                    <a:ln>
                      <a:noFill/>
                    </a:ln>
                  </pic:spPr>
                </pic:pic>
              </a:graphicData>
            </a:graphic>
          </wp:inline>
        </w:drawing>
      </w:r>
      <w:bookmarkStart w:id="64" w:name="_GoBack"/>
      <w:bookmarkEnd w:id="64"/>
    </w:p>
    <w:p>
      <w:pPr>
        <w:pStyle w:val="3"/>
        <w:bidi w:val="0"/>
        <w:rPr>
          <w:rFonts w:hint="eastAsia" w:ascii="Times New Roman" w:hAnsi="Times New Roman" w:cs="Times New Roman"/>
          <w:color w:val="auto"/>
          <w:highlight w:val="none"/>
          <w:lang w:val="en-US" w:eastAsia="zh-CN"/>
        </w:rPr>
      </w:pPr>
      <w:bookmarkStart w:id="63" w:name="_Toc14935"/>
      <w:r>
        <w:rPr>
          <w:rFonts w:hint="default" w:ascii="Times New Roman" w:hAnsi="Times New Roman" w:cs="Times New Roman"/>
          <w:color w:val="auto"/>
          <w:lang w:val="en-US" w:eastAsia="zh-CN"/>
        </w:rPr>
        <w:t>附件</w:t>
      </w:r>
      <w:r>
        <w:rPr>
          <w:rFonts w:hint="eastAsia" w:cs="Times New Roman"/>
          <w:color w:val="auto"/>
          <w:highlight w:val="none"/>
          <w:lang w:val="en-US" w:eastAsia="zh-CN"/>
        </w:rPr>
        <w:t>6</w:t>
      </w:r>
      <w:r>
        <w:rPr>
          <w:rFonts w:hint="default" w:ascii="Times New Roman" w:hAnsi="Times New Roman" w:cs="Times New Roman"/>
          <w:color w:val="auto"/>
          <w:highlight w:val="none"/>
          <w:lang w:val="en-US" w:eastAsia="zh-CN"/>
        </w:rPr>
        <w:t xml:space="preserve"> </w:t>
      </w:r>
      <w:r>
        <w:rPr>
          <w:rFonts w:hint="eastAsia" w:ascii="Times New Roman" w:hAnsi="Times New Roman" w:cs="Times New Roman"/>
          <w:color w:val="auto"/>
          <w:highlight w:val="none"/>
          <w:lang w:val="en-US" w:eastAsia="zh-CN"/>
        </w:rPr>
        <w:t>生态环境分区管控分析报告</w:t>
      </w:r>
      <w:bookmarkEnd w:id="63"/>
    </w:p>
    <w:bookmarkEnd w:id="62"/>
    <w:p>
      <w:pPr>
        <w:rPr>
          <w:rFonts w:hint="eastAsia" w:eastAsia="宋体"/>
          <w:lang w:val="en-US" w:eastAsia="zh-CN"/>
        </w:rPr>
      </w:pPr>
      <w:r>
        <w:drawing>
          <wp:inline distT="0" distB="0" distL="114300" distR="114300">
            <wp:extent cx="5272405" cy="3695065"/>
            <wp:effectExtent l="0" t="0" r="4445" b="635"/>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49"/>
                    <a:stretch>
                      <a:fillRect/>
                    </a:stretch>
                  </pic:blipFill>
                  <pic:spPr>
                    <a:xfrm>
                      <a:off x="0" y="0"/>
                      <a:ext cx="5272405" cy="3695065"/>
                    </a:xfrm>
                    <a:prstGeom prst="rect">
                      <a:avLst/>
                    </a:prstGeom>
                    <a:noFill/>
                    <a:ln>
                      <a:noFill/>
                    </a:ln>
                  </pic:spPr>
                </pic:pic>
              </a:graphicData>
            </a:graphic>
          </wp:inline>
        </w:drawing>
      </w:r>
      <w:r>
        <w:drawing>
          <wp:inline distT="0" distB="0" distL="114300" distR="114300">
            <wp:extent cx="5267960" cy="2995930"/>
            <wp:effectExtent l="0" t="0" r="8890" b="13970"/>
            <wp:docPr id="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pic:cNvPicPr>
                      <a:picLocks noChangeAspect="1"/>
                    </pic:cNvPicPr>
                  </pic:nvPicPr>
                  <pic:blipFill>
                    <a:blip r:embed="rId50"/>
                    <a:stretch>
                      <a:fillRect/>
                    </a:stretch>
                  </pic:blipFill>
                  <pic:spPr>
                    <a:xfrm>
                      <a:off x="0" y="0"/>
                      <a:ext cx="5267960" cy="2995930"/>
                    </a:xfrm>
                    <a:prstGeom prst="rect">
                      <a:avLst/>
                    </a:prstGeom>
                    <a:noFill/>
                    <a:ln>
                      <a:noFill/>
                    </a:ln>
                  </pic:spPr>
                </pic:pic>
              </a:graphicData>
            </a:graphic>
          </wp:inline>
        </w:drawing>
      </w:r>
      <w:r>
        <w:drawing>
          <wp:inline distT="0" distB="0" distL="114300" distR="114300">
            <wp:extent cx="5274310" cy="3336290"/>
            <wp:effectExtent l="0" t="0" r="2540" b="16510"/>
            <wp:docPr id="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2"/>
                    <pic:cNvPicPr>
                      <a:picLocks noChangeAspect="1"/>
                    </pic:cNvPicPr>
                  </pic:nvPicPr>
                  <pic:blipFill>
                    <a:blip r:embed="rId51"/>
                    <a:stretch>
                      <a:fillRect/>
                    </a:stretch>
                  </pic:blipFill>
                  <pic:spPr>
                    <a:xfrm>
                      <a:off x="0" y="0"/>
                      <a:ext cx="5274310" cy="3336290"/>
                    </a:xfrm>
                    <a:prstGeom prst="rect">
                      <a:avLst/>
                    </a:prstGeom>
                    <a:noFill/>
                    <a:ln>
                      <a:noFill/>
                    </a:ln>
                  </pic:spPr>
                </pic:pic>
              </a:graphicData>
            </a:graphic>
          </wp:inline>
        </w:drawing>
      </w:r>
      <w:r>
        <w:drawing>
          <wp:inline distT="0" distB="0" distL="114300" distR="114300">
            <wp:extent cx="5267325" cy="3437255"/>
            <wp:effectExtent l="0" t="0" r="9525" b="10795"/>
            <wp:docPr id="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3"/>
                    <pic:cNvPicPr>
                      <a:picLocks noChangeAspect="1"/>
                    </pic:cNvPicPr>
                  </pic:nvPicPr>
                  <pic:blipFill>
                    <a:blip r:embed="rId52"/>
                    <a:stretch>
                      <a:fillRect/>
                    </a:stretch>
                  </pic:blipFill>
                  <pic:spPr>
                    <a:xfrm>
                      <a:off x="0" y="0"/>
                      <a:ext cx="5267325" cy="3437255"/>
                    </a:xfrm>
                    <a:prstGeom prst="rect">
                      <a:avLst/>
                    </a:prstGeom>
                    <a:noFill/>
                    <a:ln>
                      <a:noFill/>
                    </a:ln>
                  </pic:spPr>
                </pic:pic>
              </a:graphicData>
            </a:graphic>
          </wp:inline>
        </w:drawing>
      </w:r>
      <w:r>
        <w:drawing>
          <wp:inline distT="0" distB="0" distL="114300" distR="114300">
            <wp:extent cx="5272405" cy="3530600"/>
            <wp:effectExtent l="0" t="0" r="4445" b="12700"/>
            <wp:docPr id="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4"/>
                    <pic:cNvPicPr>
                      <a:picLocks noChangeAspect="1"/>
                    </pic:cNvPicPr>
                  </pic:nvPicPr>
                  <pic:blipFill>
                    <a:blip r:embed="rId53"/>
                    <a:stretch>
                      <a:fillRect/>
                    </a:stretch>
                  </pic:blipFill>
                  <pic:spPr>
                    <a:xfrm>
                      <a:off x="0" y="0"/>
                      <a:ext cx="5272405" cy="3530600"/>
                    </a:xfrm>
                    <a:prstGeom prst="rect">
                      <a:avLst/>
                    </a:prstGeom>
                    <a:noFill/>
                    <a:ln>
                      <a:noFill/>
                    </a:ln>
                  </pic:spPr>
                </pic:pic>
              </a:graphicData>
            </a:graphic>
          </wp:inline>
        </w:drawing>
      </w:r>
      <w:r>
        <w:drawing>
          <wp:inline distT="0" distB="0" distL="114300" distR="114300">
            <wp:extent cx="5267960" cy="3449320"/>
            <wp:effectExtent l="0" t="0" r="8890" b="17780"/>
            <wp:docPr id="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5"/>
                    <pic:cNvPicPr>
                      <a:picLocks noChangeAspect="1"/>
                    </pic:cNvPicPr>
                  </pic:nvPicPr>
                  <pic:blipFill>
                    <a:blip r:embed="rId54"/>
                    <a:stretch>
                      <a:fillRect/>
                    </a:stretch>
                  </pic:blipFill>
                  <pic:spPr>
                    <a:xfrm>
                      <a:off x="0" y="0"/>
                      <a:ext cx="5267960" cy="3449320"/>
                    </a:xfrm>
                    <a:prstGeom prst="rect">
                      <a:avLst/>
                    </a:prstGeom>
                    <a:noFill/>
                    <a:ln>
                      <a:noFill/>
                    </a:ln>
                  </pic:spPr>
                </pic:pic>
              </a:graphicData>
            </a:graphic>
          </wp:inline>
        </w:drawing>
      </w:r>
      <w:r>
        <w:drawing>
          <wp:inline distT="0" distB="0" distL="114300" distR="114300">
            <wp:extent cx="5269865" cy="3598545"/>
            <wp:effectExtent l="0" t="0" r="6985" b="1905"/>
            <wp:docPr id="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6"/>
                    <pic:cNvPicPr>
                      <a:picLocks noChangeAspect="1"/>
                    </pic:cNvPicPr>
                  </pic:nvPicPr>
                  <pic:blipFill>
                    <a:blip r:embed="rId55"/>
                    <a:stretch>
                      <a:fillRect/>
                    </a:stretch>
                  </pic:blipFill>
                  <pic:spPr>
                    <a:xfrm>
                      <a:off x="0" y="0"/>
                      <a:ext cx="5269865" cy="3598545"/>
                    </a:xfrm>
                    <a:prstGeom prst="rect">
                      <a:avLst/>
                    </a:prstGeom>
                    <a:noFill/>
                    <a:ln>
                      <a:noFill/>
                    </a:ln>
                  </pic:spPr>
                </pic:pic>
              </a:graphicData>
            </a:graphic>
          </wp:inline>
        </w:drawing>
      </w:r>
      <w:r>
        <w:rPr>
          <w:rFonts w:hint="eastAsia"/>
          <w:lang w:val="en-US" w:eastAsia="zh-CN"/>
        </w:rPr>
        <w:tab/>
      </w:r>
      <w:r>
        <w:drawing>
          <wp:inline distT="0" distB="0" distL="114300" distR="114300">
            <wp:extent cx="5270500" cy="3436620"/>
            <wp:effectExtent l="0" t="0" r="6350" b="11430"/>
            <wp:docPr id="1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7"/>
                    <pic:cNvPicPr>
                      <a:picLocks noChangeAspect="1"/>
                    </pic:cNvPicPr>
                  </pic:nvPicPr>
                  <pic:blipFill>
                    <a:blip r:embed="rId56"/>
                    <a:stretch>
                      <a:fillRect/>
                    </a:stretch>
                  </pic:blipFill>
                  <pic:spPr>
                    <a:xfrm>
                      <a:off x="0" y="0"/>
                      <a:ext cx="5270500" cy="3436620"/>
                    </a:xfrm>
                    <a:prstGeom prst="rect">
                      <a:avLst/>
                    </a:prstGeom>
                    <a:noFill/>
                    <a:ln>
                      <a:noFill/>
                    </a:ln>
                  </pic:spPr>
                </pic:pic>
              </a:graphicData>
            </a:graphic>
          </wp:inline>
        </w:drawing>
      </w:r>
      <w:r>
        <w:drawing>
          <wp:inline distT="0" distB="0" distL="114300" distR="114300">
            <wp:extent cx="5273040" cy="3468370"/>
            <wp:effectExtent l="0" t="0" r="3810" b="17780"/>
            <wp:docPr id="1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8"/>
                    <pic:cNvPicPr>
                      <a:picLocks noChangeAspect="1"/>
                    </pic:cNvPicPr>
                  </pic:nvPicPr>
                  <pic:blipFill>
                    <a:blip r:embed="rId57"/>
                    <a:stretch>
                      <a:fillRect/>
                    </a:stretch>
                  </pic:blipFill>
                  <pic:spPr>
                    <a:xfrm>
                      <a:off x="0" y="0"/>
                      <a:ext cx="5273040" cy="3468370"/>
                    </a:xfrm>
                    <a:prstGeom prst="rect">
                      <a:avLst/>
                    </a:prstGeom>
                    <a:noFill/>
                    <a:ln>
                      <a:noFill/>
                    </a:ln>
                  </pic:spPr>
                </pic:pic>
              </a:graphicData>
            </a:graphic>
          </wp:inline>
        </w:drawing>
      </w:r>
      <w:r>
        <w:drawing>
          <wp:inline distT="0" distB="0" distL="114300" distR="114300">
            <wp:extent cx="5271135" cy="3471545"/>
            <wp:effectExtent l="0" t="0" r="5715" b="14605"/>
            <wp:docPr id="1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9"/>
                    <pic:cNvPicPr>
                      <a:picLocks noChangeAspect="1"/>
                    </pic:cNvPicPr>
                  </pic:nvPicPr>
                  <pic:blipFill>
                    <a:blip r:embed="rId58"/>
                    <a:stretch>
                      <a:fillRect/>
                    </a:stretch>
                  </pic:blipFill>
                  <pic:spPr>
                    <a:xfrm>
                      <a:off x="0" y="0"/>
                      <a:ext cx="5271135" cy="3471545"/>
                    </a:xfrm>
                    <a:prstGeom prst="rect">
                      <a:avLst/>
                    </a:prstGeom>
                    <a:noFill/>
                    <a:ln>
                      <a:noFill/>
                    </a:ln>
                  </pic:spPr>
                </pic:pic>
              </a:graphicData>
            </a:graphic>
          </wp:inline>
        </w:drawing>
      </w:r>
    </w:p>
    <w:sectPr>
      <w:pgSz w:w="11906" w:h="16838"/>
      <w:pgMar w:top="1440" w:right="1800" w:bottom="1440" w:left="1800"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89C7998E-E518-4254-A0CF-8C3147EE6B7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CAC0648F-A997-4E49-9090-3CCA1965D517}"/>
  </w:font>
  <w:font w:name="仿宋">
    <w:panose1 w:val="02010609060101010101"/>
    <w:charset w:val="86"/>
    <w:family w:val="auto"/>
    <w:pitch w:val="default"/>
    <w:sig w:usb0="800002BF" w:usb1="38CF7CFA" w:usb2="00000016" w:usb3="00000000" w:csb0="00040001" w:csb1="00000000"/>
    <w:embedRegular r:id="rId3" w:fontKey="{3BCD7DE2-CB57-4A49-8050-A2DD6FC0D80A}"/>
  </w:font>
  <w:font w:name="方正小标宋_GBK">
    <w:panose1 w:val="02000000000000000000"/>
    <w:charset w:val="86"/>
    <w:family w:val="script"/>
    <w:pitch w:val="default"/>
    <w:sig w:usb0="00000000" w:usb1="00000000" w:usb2="00000000" w:usb3="00000000" w:csb0="00000000" w:csb1="00000000"/>
    <w:embedRegular r:id="rId4" w:fontKey="{37569D13-1EF8-4E46-A145-B5D558B5EF99}"/>
  </w:font>
  <w:font w:name="楷体_GB2312">
    <w:panose1 w:val="02010609030101010101"/>
    <w:charset w:val="86"/>
    <w:family w:val="modern"/>
    <w:pitch w:val="default"/>
    <w:sig w:usb0="00000001" w:usb1="080E0000" w:usb2="00000000" w:usb3="00000000" w:csb0="00040000" w:csb1="00000000"/>
    <w:embedRegular r:id="rId5" w:fontKey="{444F7D2B-C5C9-4977-88E7-56F364B1F431}"/>
  </w:font>
  <w:font w:name="PingFangSC-Light">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auto"/>
    <w:pitch w:val="default"/>
    <w:sig w:usb0="E00006FF" w:usb1="420024FF" w:usb2="02000000" w:usb3="00000000" w:csb0="2000019F" w:csb1="00000000"/>
    <w:embedRegular r:id="rId6" w:fontKey="{AD88AA86-343A-4DE9-BD9F-5F3683539A92}"/>
  </w:font>
  <w:font w:name="等线">
    <w:panose1 w:val="02010600030101010101"/>
    <w:charset w:val="86"/>
    <w:family w:val="auto"/>
    <w:pitch w:val="default"/>
    <w:sig w:usb0="A00002BF" w:usb1="38CF7CFA" w:usb2="00000016" w:usb3="00000000" w:csb0="0004000F" w:csb1="00000000"/>
    <w:embedRegular r:id="rId7" w:fontKey="{BC986762-E6B9-473E-9A3F-D6E0246A660E}"/>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framePr w:wrap="around" w:vAnchor="text" w:hAnchor="margin" w:xAlign="center" w:y="1"/>
      <w:rPr>
        <w:rStyle w:val="33"/>
      </w:rPr>
    </w:pPr>
    <w:r>
      <w:fldChar w:fldCharType="begin"/>
    </w:r>
    <w:r>
      <w:rPr>
        <w:rStyle w:val="33"/>
      </w:rPr>
      <w:instrText xml:space="preserve">PAGE  </w:instrText>
    </w:r>
    <w:r>
      <w:fldChar w:fldCharType="end"/>
    </w:r>
  </w:p>
  <w:p>
    <w:pPr>
      <w:pStyle w:val="2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20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wszO28cBAAB0AwAADgAAAAAAAAABACAAAAAeAQAAZHJzL2Uyb0RvYy54&#10;bWxQSwUGAAAAAAYABgBZAQAAVwU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9</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H5xC6DIAQAAdAMAAA4AAAAAAAAAAQAgAAAAHgEAAGRycy9lMm9Eb2Mu&#10;eG1sUEsFBgAAAAAGAAYAWQEAAFgFAAAAAA==&#10;">
              <v:fill on="f" focussize="0,0"/>
              <v:stroke on="f"/>
              <v:imagedata o:title=""/>
              <o:lock v:ext="edit" aspectratio="f"/>
              <v:textbox inset="0mm,0mm,0mm,0mm" style="mso-fit-shape-to-text:t;">
                <w:txbxContent>
                  <w:p>
                    <w:pPr>
                      <w:pStyle w:val="21"/>
                      <w:rPr>
                        <w:rStyle w:val="33"/>
                        <w:rFonts w:ascii="宋体" w:hAnsi="宋体"/>
                        <w:sz w:val="28"/>
                        <w:szCs w:val="28"/>
                      </w:rPr>
                    </w:pPr>
                    <w:r>
                      <w:rPr>
                        <w:rStyle w:val="33"/>
                        <w:rFonts w:hint="eastAsia" w:ascii="宋体" w:hAnsi="宋体"/>
                        <w:sz w:val="28"/>
                        <w:szCs w:val="28"/>
                      </w:rPr>
                      <w:t>—</w:t>
                    </w:r>
                    <w:r>
                      <w:rPr>
                        <w:rStyle w:val="33"/>
                        <w:rFonts w:hint="eastAsia" w:ascii="宋体" w:hAnsi="宋体"/>
                        <w:sz w:val="20"/>
                      </w:rPr>
                      <w:t xml:space="preserve">  </w:t>
                    </w:r>
                    <w:r>
                      <w:rPr>
                        <w:rFonts w:ascii="宋体" w:hAnsi="宋体"/>
                        <w:sz w:val="26"/>
                        <w:szCs w:val="26"/>
                      </w:rPr>
                      <w:fldChar w:fldCharType="begin"/>
                    </w:r>
                    <w:r>
                      <w:rPr>
                        <w:rStyle w:val="33"/>
                        <w:rFonts w:ascii="宋体" w:hAnsi="宋体"/>
                        <w:sz w:val="26"/>
                        <w:szCs w:val="26"/>
                      </w:rPr>
                      <w:instrText xml:space="preserve">PAGE  </w:instrText>
                    </w:r>
                    <w:r>
                      <w:rPr>
                        <w:rFonts w:ascii="宋体" w:hAnsi="宋体"/>
                        <w:sz w:val="26"/>
                        <w:szCs w:val="26"/>
                      </w:rPr>
                      <w:fldChar w:fldCharType="separate"/>
                    </w:r>
                    <w:r>
                      <w:rPr>
                        <w:rStyle w:val="33"/>
                        <w:rFonts w:ascii="宋体" w:hAnsi="宋体"/>
                        <w:sz w:val="26"/>
                        <w:szCs w:val="26"/>
                      </w:rPr>
                      <w:t>11</w:t>
                    </w:r>
                    <w:r>
                      <w:rPr>
                        <w:rFonts w:ascii="宋体" w:hAnsi="宋体"/>
                        <w:sz w:val="26"/>
                        <w:szCs w:val="26"/>
                      </w:rPr>
                      <w:fldChar w:fldCharType="end"/>
                    </w:r>
                    <w:r>
                      <w:rPr>
                        <w:rStyle w:val="33"/>
                        <w:rFonts w:hint="eastAsia" w:ascii="宋体" w:hAnsi="宋体"/>
                        <w:sz w:val="20"/>
                      </w:rPr>
                      <w:t xml:space="preserve">  </w:t>
                    </w:r>
                    <w:r>
                      <w:rPr>
                        <w:rStyle w:val="33"/>
                        <w:rFonts w:hint="eastAsia" w:ascii="宋体" w:hAnsi="宋体"/>
                        <w:sz w:val="28"/>
                        <w:szCs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CDBC6E"/>
    <w:multiLevelType w:val="singleLevel"/>
    <w:tmpl w:val="A5CDBC6E"/>
    <w:lvl w:ilvl="0" w:tentative="0">
      <w:start w:val="5"/>
      <w:numFmt w:val="decimal"/>
      <w:suff w:val="nothing"/>
      <w:lvlText w:val="（%1）"/>
      <w:lvlJc w:val="left"/>
    </w:lvl>
  </w:abstractNum>
  <w:abstractNum w:abstractNumId="1">
    <w:nsid w:val="A90876FD"/>
    <w:multiLevelType w:val="singleLevel"/>
    <w:tmpl w:val="A90876FD"/>
    <w:lvl w:ilvl="0" w:tentative="0">
      <w:start w:val="1"/>
      <w:numFmt w:val="chineseCounting"/>
      <w:suff w:val="nothing"/>
      <w:lvlText w:val="%1、"/>
      <w:lvlJc w:val="left"/>
      <w:rPr>
        <w:rFonts w:hint="eastAsia"/>
      </w:rPr>
    </w:lvl>
  </w:abstractNum>
  <w:abstractNum w:abstractNumId="2">
    <w:nsid w:val="C982EB17"/>
    <w:multiLevelType w:val="singleLevel"/>
    <w:tmpl w:val="C982EB17"/>
    <w:lvl w:ilvl="0" w:tentative="0">
      <w:start w:val="1"/>
      <w:numFmt w:val="decimal"/>
      <w:suff w:val="nothing"/>
      <w:lvlText w:val="%1、"/>
      <w:lvlJc w:val="left"/>
    </w:lvl>
  </w:abstractNum>
  <w:abstractNum w:abstractNumId="3">
    <w:nsid w:val="155218AF"/>
    <w:multiLevelType w:val="multilevel"/>
    <w:tmpl w:val="155218AF"/>
    <w:lvl w:ilvl="0" w:tentative="0">
      <w:start w:val="1"/>
      <w:numFmt w:val="decimal"/>
      <w:pStyle w:val="63"/>
      <w:lvlText w:val="表%1"/>
      <w:lvlJc w:val="left"/>
      <w:pPr>
        <w:ind w:left="620" w:hanging="420"/>
      </w:pPr>
      <w:rPr>
        <w:rFonts w:hint="default"/>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
    <w:nsid w:val="4A2CB7F8"/>
    <w:multiLevelType w:val="singleLevel"/>
    <w:tmpl w:val="4A2CB7F8"/>
    <w:lvl w:ilvl="0" w:tentative="0">
      <w:start w:val="4"/>
      <w:numFmt w:val="decimal"/>
      <w:suff w:val="nothing"/>
      <w:lvlText w:val="%1、"/>
      <w:lvlJc w:val="left"/>
    </w:lvl>
  </w:abstractNum>
  <w:abstractNum w:abstractNumId="5">
    <w:nsid w:val="76896012"/>
    <w:multiLevelType w:val="singleLevel"/>
    <w:tmpl w:val="76896012"/>
    <w:lvl w:ilvl="0" w:tentative="0">
      <w:start w:val="1"/>
      <w:numFmt w:val="bullet"/>
      <w:pStyle w:val="18"/>
      <w:lvlText w:val=""/>
      <w:lvlJc w:val="left"/>
      <w:pPr>
        <w:tabs>
          <w:tab w:val="left" w:pos="2040"/>
        </w:tabs>
        <w:ind w:left="2040" w:hanging="360"/>
      </w:pPr>
      <w:rPr>
        <w:rFonts w:hint="default" w:ascii="Wingdings" w:hAnsi="Wingdings"/>
      </w:rPr>
    </w:lvl>
  </w:abstractNum>
  <w:num w:numId="1">
    <w:abstractNumId w:val="5"/>
  </w:num>
  <w:num w:numId="2">
    <w:abstractNumId w:val="3"/>
  </w:num>
  <w:num w:numId="3">
    <w:abstractNumId w:val="1"/>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xYjE0ODY0YzUzMzU2N2EyOTFkYjA4ZWVlNmY4NDEifQ=="/>
  </w:docVars>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16E7F"/>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76EE4"/>
    <w:rsid w:val="00880364"/>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0603E"/>
    <w:rsid w:val="00B1078B"/>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751D0"/>
    <w:rsid w:val="00F80A0A"/>
    <w:rsid w:val="00F82B19"/>
    <w:rsid w:val="00F9212D"/>
    <w:rsid w:val="00F965DA"/>
    <w:rsid w:val="00FA406A"/>
    <w:rsid w:val="00FB503A"/>
    <w:rsid w:val="00FB516C"/>
    <w:rsid w:val="00FD0236"/>
    <w:rsid w:val="00FD18F4"/>
    <w:rsid w:val="00FD54DB"/>
    <w:rsid w:val="00FD619F"/>
    <w:rsid w:val="011121E8"/>
    <w:rsid w:val="01290F7E"/>
    <w:rsid w:val="015D1E09"/>
    <w:rsid w:val="017B6B58"/>
    <w:rsid w:val="019033CD"/>
    <w:rsid w:val="01981E86"/>
    <w:rsid w:val="01D2320F"/>
    <w:rsid w:val="02167FC9"/>
    <w:rsid w:val="021B3862"/>
    <w:rsid w:val="02261B9E"/>
    <w:rsid w:val="02697903"/>
    <w:rsid w:val="027D6FE3"/>
    <w:rsid w:val="02B97880"/>
    <w:rsid w:val="02DB7FEA"/>
    <w:rsid w:val="02F96569"/>
    <w:rsid w:val="03575264"/>
    <w:rsid w:val="0359750E"/>
    <w:rsid w:val="038B79FE"/>
    <w:rsid w:val="03EA7B21"/>
    <w:rsid w:val="03F1131D"/>
    <w:rsid w:val="03F260D5"/>
    <w:rsid w:val="04400509"/>
    <w:rsid w:val="046D182C"/>
    <w:rsid w:val="04C8613F"/>
    <w:rsid w:val="05097A6D"/>
    <w:rsid w:val="05842F33"/>
    <w:rsid w:val="059942BA"/>
    <w:rsid w:val="059F6D52"/>
    <w:rsid w:val="05D61372"/>
    <w:rsid w:val="05EB3A8F"/>
    <w:rsid w:val="05F83EAE"/>
    <w:rsid w:val="060302C9"/>
    <w:rsid w:val="06185823"/>
    <w:rsid w:val="062F5408"/>
    <w:rsid w:val="063E7D85"/>
    <w:rsid w:val="06455F74"/>
    <w:rsid w:val="06CD0B19"/>
    <w:rsid w:val="07293586"/>
    <w:rsid w:val="07295285"/>
    <w:rsid w:val="074D6D6B"/>
    <w:rsid w:val="07636392"/>
    <w:rsid w:val="07770C56"/>
    <w:rsid w:val="07CD489F"/>
    <w:rsid w:val="08707328"/>
    <w:rsid w:val="08BA0E3B"/>
    <w:rsid w:val="08C475AE"/>
    <w:rsid w:val="08F6498F"/>
    <w:rsid w:val="092217DD"/>
    <w:rsid w:val="093A7294"/>
    <w:rsid w:val="099830FE"/>
    <w:rsid w:val="0A0E259B"/>
    <w:rsid w:val="0A1B74D6"/>
    <w:rsid w:val="0A1D015B"/>
    <w:rsid w:val="0A255CB5"/>
    <w:rsid w:val="0A263993"/>
    <w:rsid w:val="0A2D3AC2"/>
    <w:rsid w:val="0A361932"/>
    <w:rsid w:val="0A692EA6"/>
    <w:rsid w:val="0AA755DF"/>
    <w:rsid w:val="0B041011"/>
    <w:rsid w:val="0B120D44"/>
    <w:rsid w:val="0B676151"/>
    <w:rsid w:val="0B701CFA"/>
    <w:rsid w:val="0B9F6E8C"/>
    <w:rsid w:val="0BA85FDE"/>
    <w:rsid w:val="0BD27BF6"/>
    <w:rsid w:val="0BD302DF"/>
    <w:rsid w:val="0BE42C4E"/>
    <w:rsid w:val="0C2A0C3B"/>
    <w:rsid w:val="0C3B3C7D"/>
    <w:rsid w:val="0C5E4350"/>
    <w:rsid w:val="0C623AD8"/>
    <w:rsid w:val="0CAB2EAE"/>
    <w:rsid w:val="0CCB2787"/>
    <w:rsid w:val="0CCE444A"/>
    <w:rsid w:val="0CE73BD2"/>
    <w:rsid w:val="0D621C7D"/>
    <w:rsid w:val="0DB433B1"/>
    <w:rsid w:val="0DF26598"/>
    <w:rsid w:val="0E0D1141"/>
    <w:rsid w:val="0E1F1513"/>
    <w:rsid w:val="0E423DE1"/>
    <w:rsid w:val="0E73034D"/>
    <w:rsid w:val="0E9D1781"/>
    <w:rsid w:val="0E9F5443"/>
    <w:rsid w:val="0F13775A"/>
    <w:rsid w:val="0F1F2AEA"/>
    <w:rsid w:val="0F3A4F92"/>
    <w:rsid w:val="0F3D758C"/>
    <w:rsid w:val="0F5B5092"/>
    <w:rsid w:val="0F5F45FE"/>
    <w:rsid w:val="0F8A441C"/>
    <w:rsid w:val="0F9A112B"/>
    <w:rsid w:val="0FAB6BF2"/>
    <w:rsid w:val="0FF91F6B"/>
    <w:rsid w:val="106D2F64"/>
    <w:rsid w:val="107E5F4D"/>
    <w:rsid w:val="108D0CFD"/>
    <w:rsid w:val="10A130A2"/>
    <w:rsid w:val="10A9038F"/>
    <w:rsid w:val="10B63710"/>
    <w:rsid w:val="10B66091"/>
    <w:rsid w:val="10BD52A8"/>
    <w:rsid w:val="10C9278D"/>
    <w:rsid w:val="10F10820"/>
    <w:rsid w:val="11014C09"/>
    <w:rsid w:val="110A6BD7"/>
    <w:rsid w:val="111C2F7A"/>
    <w:rsid w:val="11665CA1"/>
    <w:rsid w:val="11C915E0"/>
    <w:rsid w:val="11DB10E2"/>
    <w:rsid w:val="11FC3698"/>
    <w:rsid w:val="1222743B"/>
    <w:rsid w:val="12333462"/>
    <w:rsid w:val="13137E5F"/>
    <w:rsid w:val="13223A43"/>
    <w:rsid w:val="13250848"/>
    <w:rsid w:val="136873B3"/>
    <w:rsid w:val="137919E5"/>
    <w:rsid w:val="13951726"/>
    <w:rsid w:val="139C31B4"/>
    <w:rsid w:val="14197EED"/>
    <w:rsid w:val="14396509"/>
    <w:rsid w:val="143C00A0"/>
    <w:rsid w:val="143C5B6F"/>
    <w:rsid w:val="14691F82"/>
    <w:rsid w:val="14AA3362"/>
    <w:rsid w:val="14AF359B"/>
    <w:rsid w:val="14B55F96"/>
    <w:rsid w:val="14CB4D46"/>
    <w:rsid w:val="14DD2C3C"/>
    <w:rsid w:val="14E121AE"/>
    <w:rsid w:val="152E3EA7"/>
    <w:rsid w:val="15461D15"/>
    <w:rsid w:val="15751255"/>
    <w:rsid w:val="15895A52"/>
    <w:rsid w:val="15AD48E8"/>
    <w:rsid w:val="15DA0777"/>
    <w:rsid w:val="15F73341"/>
    <w:rsid w:val="15F83DA8"/>
    <w:rsid w:val="15FE57F2"/>
    <w:rsid w:val="16087E1D"/>
    <w:rsid w:val="162B4EB1"/>
    <w:rsid w:val="16576794"/>
    <w:rsid w:val="16914AB6"/>
    <w:rsid w:val="17214B15"/>
    <w:rsid w:val="17221E85"/>
    <w:rsid w:val="173F67CA"/>
    <w:rsid w:val="17453684"/>
    <w:rsid w:val="17575798"/>
    <w:rsid w:val="17701D14"/>
    <w:rsid w:val="17735226"/>
    <w:rsid w:val="17883F1B"/>
    <w:rsid w:val="17A9701D"/>
    <w:rsid w:val="17EF6030"/>
    <w:rsid w:val="18531E8F"/>
    <w:rsid w:val="18671A52"/>
    <w:rsid w:val="18742FF5"/>
    <w:rsid w:val="189F624C"/>
    <w:rsid w:val="18D06CC6"/>
    <w:rsid w:val="18D55C16"/>
    <w:rsid w:val="190C7F4A"/>
    <w:rsid w:val="19490C49"/>
    <w:rsid w:val="19565CC0"/>
    <w:rsid w:val="19676F62"/>
    <w:rsid w:val="19AD6EF2"/>
    <w:rsid w:val="19CD5980"/>
    <w:rsid w:val="1A122317"/>
    <w:rsid w:val="1A1C3F14"/>
    <w:rsid w:val="1A1C66C0"/>
    <w:rsid w:val="1A42393B"/>
    <w:rsid w:val="1A814378"/>
    <w:rsid w:val="1A84413A"/>
    <w:rsid w:val="1AAD45DE"/>
    <w:rsid w:val="1ABD795F"/>
    <w:rsid w:val="1AD70F2D"/>
    <w:rsid w:val="1B046F80"/>
    <w:rsid w:val="1B1473BC"/>
    <w:rsid w:val="1B197F31"/>
    <w:rsid w:val="1B2E2687"/>
    <w:rsid w:val="1B3267B5"/>
    <w:rsid w:val="1B40161D"/>
    <w:rsid w:val="1B441859"/>
    <w:rsid w:val="1B6606B1"/>
    <w:rsid w:val="1B794D59"/>
    <w:rsid w:val="1B9E5220"/>
    <w:rsid w:val="1BA52478"/>
    <w:rsid w:val="1BE45B9D"/>
    <w:rsid w:val="1C2A6AC2"/>
    <w:rsid w:val="1C4228FA"/>
    <w:rsid w:val="1C5A5F7D"/>
    <w:rsid w:val="1C5E7925"/>
    <w:rsid w:val="1C636D7B"/>
    <w:rsid w:val="1C6671ED"/>
    <w:rsid w:val="1C97580E"/>
    <w:rsid w:val="1C9C6A8E"/>
    <w:rsid w:val="1CA04F1C"/>
    <w:rsid w:val="1CBA10F7"/>
    <w:rsid w:val="1CD03DAB"/>
    <w:rsid w:val="1CD25EE5"/>
    <w:rsid w:val="1CFD070F"/>
    <w:rsid w:val="1D5F6196"/>
    <w:rsid w:val="1D6132A5"/>
    <w:rsid w:val="1D822594"/>
    <w:rsid w:val="1D871D2E"/>
    <w:rsid w:val="1D8C461D"/>
    <w:rsid w:val="1D8E56D5"/>
    <w:rsid w:val="1D8F0979"/>
    <w:rsid w:val="1DC7082F"/>
    <w:rsid w:val="1DF43BD5"/>
    <w:rsid w:val="1E2C13E6"/>
    <w:rsid w:val="1E340689"/>
    <w:rsid w:val="1E49588A"/>
    <w:rsid w:val="1E5A63DC"/>
    <w:rsid w:val="1E7A43DA"/>
    <w:rsid w:val="1ECC5B48"/>
    <w:rsid w:val="1ED24AB3"/>
    <w:rsid w:val="1EF02975"/>
    <w:rsid w:val="1F4443B2"/>
    <w:rsid w:val="1F7D1EE6"/>
    <w:rsid w:val="1FA63B31"/>
    <w:rsid w:val="1FE7539E"/>
    <w:rsid w:val="203936FA"/>
    <w:rsid w:val="20431449"/>
    <w:rsid w:val="20671BE0"/>
    <w:rsid w:val="207B4C6C"/>
    <w:rsid w:val="20864E0B"/>
    <w:rsid w:val="20963CB8"/>
    <w:rsid w:val="20A81A1B"/>
    <w:rsid w:val="20B07FB6"/>
    <w:rsid w:val="20B646FB"/>
    <w:rsid w:val="20C4276B"/>
    <w:rsid w:val="20E00670"/>
    <w:rsid w:val="213B74B1"/>
    <w:rsid w:val="2151001D"/>
    <w:rsid w:val="215A2310"/>
    <w:rsid w:val="21630A1E"/>
    <w:rsid w:val="21B653B5"/>
    <w:rsid w:val="21CE3698"/>
    <w:rsid w:val="21DE318A"/>
    <w:rsid w:val="21E2519E"/>
    <w:rsid w:val="21EF5B80"/>
    <w:rsid w:val="21FE4B23"/>
    <w:rsid w:val="22217789"/>
    <w:rsid w:val="223D1532"/>
    <w:rsid w:val="22537179"/>
    <w:rsid w:val="22576990"/>
    <w:rsid w:val="22620B99"/>
    <w:rsid w:val="229972EB"/>
    <w:rsid w:val="22A66B81"/>
    <w:rsid w:val="22F47480"/>
    <w:rsid w:val="235F450F"/>
    <w:rsid w:val="23683EFA"/>
    <w:rsid w:val="23785725"/>
    <w:rsid w:val="23BA79D0"/>
    <w:rsid w:val="23DE1C48"/>
    <w:rsid w:val="23FA3DEB"/>
    <w:rsid w:val="23FD1F37"/>
    <w:rsid w:val="240210CD"/>
    <w:rsid w:val="242A09AF"/>
    <w:rsid w:val="243508DF"/>
    <w:rsid w:val="243A681C"/>
    <w:rsid w:val="24500923"/>
    <w:rsid w:val="24585EDF"/>
    <w:rsid w:val="246360A2"/>
    <w:rsid w:val="249101A6"/>
    <w:rsid w:val="24B51FCB"/>
    <w:rsid w:val="24BF09F7"/>
    <w:rsid w:val="25014703"/>
    <w:rsid w:val="252D53FE"/>
    <w:rsid w:val="25353D2F"/>
    <w:rsid w:val="257B6516"/>
    <w:rsid w:val="25C218DC"/>
    <w:rsid w:val="25C4399B"/>
    <w:rsid w:val="25C5028D"/>
    <w:rsid w:val="25DA3182"/>
    <w:rsid w:val="25E5514E"/>
    <w:rsid w:val="25E67F48"/>
    <w:rsid w:val="25EC2D81"/>
    <w:rsid w:val="25F866D1"/>
    <w:rsid w:val="25F976A7"/>
    <w:rsid w:val="25FA4A5F"/>
    <w:rsid w:val="265D1549"/>
    <w:rsid w:val="266D7D5B"/>
    <w:rsid w:val="267E28DB"/>
    <w:rsid w:val="26955D35"/>
    <w:rsid w:val="26C82584"/>
    <w:rsid w:val="26CB3E5F"/>
    <w:rsid w:val="26CE741C"/>
    <w:rsid w:val="275142B7"/>
    <w:rsid w:val="277057A2"/>
    <w:rsid w:val="27906423"/>
    <w:rsid w:val="27E33207"/>
    <w:rsid w:val="28072F0C"/>
    <w:rsid w:val="28130EFA"/>
    <w:rsid w:val="28540B36"/>
    <w:rsid w:val="28684D98"/>
    <w:rsid w:val="29206EB8"/>
    <w:rsid w:val="293D0F52"/>
    <w:rsid w:val="29595666"/>
    <w:rsid w:val="29874881"/>
    <w:rsid w:val="298924A9"/>
    <w:rsid w:val="299E6D8C"/>
    <w:rsid w:val="29DC72A3"/>
    <w:rsid w:val="29E325E0"/>
    <w:rsid w:val="29E94C1E"/>
    <w:rsid w:val="2A003230"/>
    <w:rsid w:val="2A1360C6"/>
    <w:rsid w:val="2A16686A"/>
    <w:rsid w:val="2A175EBF"/>
    <w:rsid w:val="2A452503"/>
    <w:rsid w:val="2A521B11"/>
    <w:rsid w:val="2A85680A"/>
    <w:rsid w:val="2A9C3ADF"/>
    <w:rsid w:val="2AB4501D"/>
    <w:rsid w:val="2ABF6D62"/>
    <w:rsid w:val="2AEE3107"/>
    <w:rsid w:val="2AF51608"/>
    <w:rsid w:val="2B0320F9"/>
    <w:rsid w:val="2B465DBF"/>
    <w:rsid w:val="2B4A5F6D"/>
    <w:rsid w:val="2B5409F0"/>
    <w:rsid w:val="2B6163EE"/>
    <w:rsid w:val="2B7B7489"/>
    <w:rsid w:val="2B8C25FF"/>
    <w:rsid w:val="2BA936A8"/>
    <w:rsid w:val="2BBA491B"/>
    <w:rsid w:val="2BCD7344"/>
    <w:rsid w:val="2BD33884"/>
    <w:rsid w:val="2C0E681E"/>
    <w:rsid w:val="2C2E33FE"/>
    <w:rsid w:val="2C315A5A"/>
    <w:rsid w:val="2C42045B"/>
    <w:rsid w:val="2C4B1C25"/>
    <w:rsid w:val="2C4F6588"/>
    <w:rsid w:val="2C5D7BC0"/>
    <w:rsid w:val="2CB9732B"/>
    <w:rsid w:val="2D1235A1"/>
    <w:rsid w:val="2D3F3E15"/>
    <w:rsid w:val="2D5372E9"/>
    <w:rsid w:val="2D5B60AE"/>
    <w:rsid w:val="2D964D60"/>
    <w:rsid w:val="2D9B6B0E"/>
    <w:rsid w:val="2D9E56F5"/>
    <w:rsid w:val="2E05270F"/>
    <w:rsid w:val="2E07165B"/>
    <w:rsid w:val="2E120A28"/>
    <w:rsid w:val="2E4C262D"/>
    <w:rsid w:val="2E51371E"/>
    <w:rsid w:val="2E667F96"/>
    <w:rsid w:val="2E8226AB"/>
    <w:rsid w:val="2F5B158F"/>
    <w:rsid w:val="2F841E28"/>
    <w:rsid w:val="2FC4498F"/>
    <w:rsid w:val="2FD065E6"/>
    <w:rsid w:val="2FD96870"/>
    <w:rsid w:val="30082A1C"/>
    <w:rsid w:val="301E10B7"/>
    <w:rsid w:val="30384577"/>
    <w:rsid w:val="303A0C09"/>
    <w:rsid w:val="305539E9"/>
    <w:rsid w:val="30580BC9"/>
    <w:rsid w:val="308A2DD8"/>
    <w:rsid w:val="31045D62"/>
    <w:rsid w:val="311E2ED7"/>
    <w:rsid w:val="31491F46"/>
    <w:rsid w:val="315619EE"/>
    <w:rsid w:val="315C3863"/>
    <w:rsid w:val="315C449C"/>
    <w:rsid w:val="31664639"/>
    <w:rsid w:val="31AB31B8"/>
    <w:rsid w:val="31B82709"/>
    <w:rsid w:val="31D03865"/>
    <w:rsid w:val="31D05482"/>
    <w:rsid w:val="31F427A0"/>
    <w:rsid w:val="320819D7"/>
    <w:rsid w:val="321F4067"/>
    <w:rsid w:val="32201C61"/>
    <w:rsid w:val="32277185"/>
    <w:rsid w:val="32373A04"/>
    <w:rsid w:val="32400B34"/>
    <w:rsid w:val="326D55DE"/>
    <w:rsid w:val="32903C36"/>
    <w:rsid w:val="329262E2"/>
    <w:rsid w:val="329E6876"/>
    <w:rsid w:val="33103826"/>
    <w:rsid w:val="333015F2"/>
    <w:rsid w:val="333F4FF3"/>
    <w:rsid w:val="334B6320"/>
    <w:rsid w:val="33954C73"/>
    <w:rsid w:val="33AE31E3"/>
    <w:rsid w:val="33D934D4"/>
    <w:rsid w:val="33EB379D"/>
    <w:rsid w:val="33FE03D7"/>
    <w:rsid w:val="33FE2F6A"/>
    <w:rsid w:val="340D5119"/>
    <w:rsid w:val="340E07E5"/>
    <w:rsid w:val="34235BF7"/>
    <w:rsid w:val="34311C0E"/>
    <w:rsid w:val="34843AA5"/>
    <w:rsid w:val="34854D72"/>
    <w:rsid w:val="34A65E6C"/>
    <w:rsid w:val="34AA19D5"/>
    <w:rsid w:val="34CA0B14"/>
    <w:rsid w:val="34E642E4"/>
    <w:rsid w:val="3508784C"/>
    <w:rsid w:val="3518029B"/>
    <w:rsid w:val="35236F98"/>
    <w:rsid w:val="35396D0C"/>
    <w:rsid w:val="356B5A2B"/>
    <w:rsid w:val="358C5FA8"/>
    <w:rsid w:val="35B91923"/>
    <w:rsid w:val="35C0684E"/>
    <w:rsid w:val="35C15DF1"/>
    <w:rsid w:val="35F6773C"/>
    <w:rsid w:val="36074A7F"/>
    <w:rsid w:val="36923549"/>
    <w:rsid w:val="36B75FBF"/>
    <w:rsid w:val="36BD0C45"/>
    <w:rsid w:val="375F3C64"/>
    <w:rsid w:val="37AD3910"/>
    <w:rsid w:val="37E00298"/>
    <w:rsid w:val="38226065"/>
    <w:rsid w:val="389E6D44"/>
    <w:rsid w:val="38B302F9"/>
    <w:rsid w:val="38F12CD3"/>
    <w:rsid w:val="38F24280"/>
    <w:rsid w:val="38F94775"/>
    <w:rsid w:val="392971ED"/>
    <w:rsid w:val="39325651"/>
    <w:rsid w:val="393F6A4C"/>
    <w:rsid w:val="39945324"/>
    <w:rsid w:val="39B05882"/>
    <w:rsid w:val="39E958F2"/>
    <w:rsid w:val="39EB6C17"/>
    <w:rsid w:val="39F7575A"/>
    <w:rsid w:val="3A70112C"/>
    <w:rsid w:val="3A715BE6"/>
    <w:rsid w:val="3A82368B"/>
    <w:rsid w:val="3A872856"/>
    <w:rsid w:val="3AA134BC"/>
    <w:rsid w:val="3ABA6E6F"/>
    <w:rsid w:val="3AC7651B"/>
    <w:rsid w:val="3ADA57AC"/>
    <w:rsid w:val="3AF917BE"/>
    <w:rsid w:val="3B37244D"/>
    <w:rsid w:val="3B3763D1"/>
    <w:rsid w:val="3B6B7446"/>
    <w:rsid w:val="3B7908EA"/>
    <w:rsid w:val="3B7A0443"/>
    <w:rsid w:val="3BA7682B"/>
    <w:rsid w:val="3BB22D00"/>
    <w:rsid w:val="3BD01333"/>
    <w:rsid w:val="3BD05689"/>
    <w:rsid w:val="3C2F6E1E"/>
    <w:rsid w:val="3C4F64BA"/>
    <w:rsid w:val="3C976B3F"/>
    <w:rsid w:val="3CB648C4"/>
    <w:rsid w:val="3CC71CF3"/>
    <w:rsid w:val="3CDA245A"/>
    <w:rsid w:val="3D1E06B7"/>
    <w:rsid w:val="3D1F0905"/>
    <w:rsid w:val="3D4655C3"/>
    <w:rsid w:val="3D87783A"/>
    <w:rsid w:val="3DB63E41"/>
    <w:rsid w:val="3DE47E5B"/>
    <w:rsid w:val="3E0D25BE"/>
    <w:rsid w:val="3E6650CD"/>
    <w:rsid w:val="3EA72AE8"/>
    <w:rsid w:val="3EB65825"/>
    <w:rsid w:val="3EDA0523"/>
    <w:rsid w:val="3EF9599F"/>
    <w:rsid w:val="3F255F63"/>
    <w:rsid w:val="3F304BA2"/>
    <w:rsid w:val="3F4855CD"/>
    <w:rsid w:val="3F5166A7"/>
    <w:rsid w:val="3F564254"/>
    <w:rsid w:val="3F7F50DD"/>
    <w:rsid w:val="3F896226"/>
    <w:rsid w:val="3F913EC5"/>
    <w:rsid w:val="3FA310C4"/>
    <w:rsid w:val="3FD86B98"/>
    <w:rsid w:val="3FF041B7"/>
    <w:rsid w:val="40066D1F"/>
    <w:rsid w:val="40741B85"/>
    <w:rsid w:val="407A6407"/>
    <w:rsid w:val="407F2E19"/>
    <w:rsid w:val="40DE7A2E"/>
    <w:rsid w:val="40E64DF9"/>
    <w:rsid w:val="41067CF5"/>
    <w:rsid w:val="41157A56"/>
    <w:rsid w:val="411A4AC6"/>
    <w:rsid w:val="414211A5"/>
    <w:rsid w:val="416B05A7"/>
    <w:rsid w:val="418506B8"/>
    <w:rsid w:val="41D546E9"/>
    <w:rsid w:val="4200449D"/>
    <w:rsid w:val="423A3BCC"/>
    <w:rsid w:val="424236F4"/>
    <w:rsid w:val="424E57D2"/>
    <w:rsid w:val="42572CB5"/>
    <w:rsid w:val="42954D3B"/>
    <w:rsid w:val="42B26C49"/>
    <w:rsid w:val="42B655FF"/>
    <w:rsid w:val="42C2380C"/>
    <w:rsid w:val="42C24B15"/>
    <w:rsid w:val="42C718FF"/>
    <w:rsid w:val="431B66EB"/>
    <w:rsid w:val="433A6FE6"/>
    <w:rsid w:val="43480868"/>
    <w:rsid w:val="4350713C"/>
    <w:rsid w:val="436653E0"/>
    <w:rsid w:val="436B4F55"/>
    <w:rsid w:val="43702A96"/>
    <w:rsid w:val="439B7CA4"/>
    <w:rsid w:val="43C4431A"/>
    <w:rsid w:val="43F226EB"/>
    <w:rsid w:val="4404080F"/>
    <w:rsid w:val="441516CC"/>
    <w:rsid w:val="44217902"/>
    <w:rsid w:val="4427192E"/>
    <w:rsid w:val="44562E01"/>
    <w:rsid w:val="446903D6"/>
    <w:rsid w:val="447D42ED"/>
    <w:rsid w:val="44B951CC"/>
    <w:rsid w:val="44CD14E0"/>
    <w:rsid w:val="44F20B0B"/>
    <w:rsid w:val="450F185A"/>
    <w:rsid w:val="451A7A79"/>
    <w:rsid w:val="452013C5"/>
    <w:rsid w:val="4529706E"/>
    <w:rsid w:val="45297855"/>
    <w:rsid w:val="452E5F4C"/>
    <w:rsid w:val="453C0CE7"/>
    <w:rsid w:val="45612018"/>
    <w:rsid w:val="458946E9"/>
    <w:rsid w:val="45A47C0E"/>
    <w:rsid w:val="45CD51CE"/>
    <w:rsid w:val="45D12B05"/>
    <w:rsid w:val="461364B4"/>
    <w:rsid w:val="463A1CDB"/>
    <w:rsid w:val="46577FD6"/>
    <w:rsid w:val="46966F6C"/>
    <w:rsid w:val="46C02996"/>
    <w:rsid w:val="46D955A7"/>
    <w:rsid w:val="47095454"/>
    <w:rsid w:val="47133957"/>
    <w:rsid w:val="47274F9C"/>
    <w:rsid w:val="474230B2"/>
    <w:rsid w:val="474748A5"/>
    <w:rsid w:val="47487BEA"/>
    <w:rsid w:val="474B1A26"/>
    <w:rsid w:val="47611CE5"/>
    <w:rsid w:val="47616EFE"/>
    <w:rsid w:val="47A07E0C"/>
    <w:rsid w:val="47BF067F"/>
    <w:rsid w:val="47E471D2"/>
    <w:rsid w:val="480B33BC"/>
    <w:rsid w:val="48210DE6"/>
    <w:rsid w:val="48334420"/>
    <w:rsid w:val="4870272E"/>
    <w:rsid w:val="4877577E"/>
    <w:rsid w:val="48C27B4E"/>
    <w:rsid w:val="48FA6B34"/>
    <w:rsid w:val="490C6B7F"/>
    <w:rsid w:val="4928192F"/>
    <w:rsid w:val="492D3556"/>
    <w:rsid w:val="495B540A"/>
    <w:rsid w:val="49A260A5"/>
    <w:rsid w:val="49A73790"/>
    <w:rsid w:val="49AF2A38"/>
    <w:rsid w:val="49DC7715"/>
    <w:rsid w:val="49F14B41"/>
    <w:rsid w:val="4A023139"/>
    <w:rsid w:val="4A1A1B1F"/>
    <w:rsid w:val="4A671E81"/>
    <w:rsid w:val="4A7B576F"/>
    <w:rsid w:val="4A9926A3"/>
    <w:rsid w:val="4A9C33B3"/>
    <w:rsid w:val="4ABD5996"/>
    <w:rsid w:val="4ADB576C"/>
    <w:rsid w:val="4AF561A9"/>
    <w:rsid w:val="4B410B3E"/>
    <w:rsid w:val="4B502960"/>
    <w:rsid w:val="4B6B6DDC"/>
    <w:rsid w:val="4B7E5F4D"/>
    <w:rsid w:val="4B8962C1"/>
    <w:rsid w:val="4B976271"/>
    <w:rsid w:val="4B9E4B6B"/>
    <w:rsid w:val="4BA45A83"/>
    <w:rsid w:val="4BA47516"/>
    <w:rsid w:val="4BA641D0"/>
    <w:rsid w:val="4BC67AC5"/>
    <w:rsid w:val="4BC92923"/>
    <w:rsid w:val="4C166F33"/>
    <w:rsid w:val="4C4A0649"/>
    <w:rsid w:val="4C5E0E5B"/>
    <w:rsid w:val="4C625B87"/>
    <w:rsid w:val="4C7E5ECA"/>
    <w:rsid w:val="4C876AA5"/>
    <w:rsid w:val="4D0430A4"/>
    <w:rsid w:val="4D0A4024"/>
    <w:rsid w:val="4D0E00FB"/>
    <w:rsid w:val="4D176606"/>
    <w:rsid w:val="4D4365FE"/>
    <w:rsid w:val="4DCD0A6E"/>
    <w:rsid w:val="4DEC4FB0"/>
    <w:rsid w:val="4DEF101A"/>
    <w:rsid w:val="4E075D8A"/>
    <w:rsid w:val="4E1121D8"/>
    <w:rsid w:val="4E244CA2"/>
    <w:rsid w:val="4E4C00C0"/>
    <w:rsid w:val="4E561ACB"/>
    <w:rsid w:val="4E817E28"/>
    <w:rsid w:val="4EC00FAD"/>
    <w:rsid w:val="4EC878DB"/>
    <w:rsid w:val="4ED97085"/>
    <w:rsid w:val="4F124EEE"/>
    <w:rsid w:val="4F232A45"/>
    <w:rsid w:val="4F232B85"/>
    <w:rsid w:val="4F3E2CB1"/>
    <w:rsid w:val="4F8F3D7E"/>
    <w:rsid w:val="4F910714"/>
    <w:rsid w:val="4F9843DC"/>
    <w:rsid w:val="4FB716BA"/>
    <w:rsid w:val="4FC62A8C"/>
    <w:rsid w:val="4FCB67EA"/>
    <w:rsid w:val="4FE20F0D"/>
    <w:rsid w:val="4FE51552"/>
    <w:rsid w:val="501E5694"/>
    <w:rsid w:val="50485798"/>
    <w:rsid w:val="50504C4B"/>
    <w:rsid w:val="50573227"/>
    <w:rsid w:val="50732DCE"/>
    <w:rsid w:val="50732E68"/>
    <w:rsid w:val="5078063E"/>
    <w:rsid w:val="507E1C38"/>
    <w:rsid w:val="509C6E7C"/>
    <w:rsid w:val="50A624E8"/>
    <w:rsid w:val="50B67D2B"/>
    <w:rsid w:val="50C3433E"/>
    <w:rsid w:val="50E11ED6"/>
    <w:rsid w:val="50F11BE4"/>
    <w:rsid w:val="512417F5"/>
    <w:rsid w:val="51480A14"/>
    <w:rsid w:val="5162104E"/>
    <w:rsid w:val="516C31A7"/>
    <w:rsid w:val="517642EF"/>
    <w:rsid w:val="519B3C4D"/>
    <w:rsid w:val="51BE7DA6"/>
    <w:rsid w:val="51E64440"/>
    <w:rsid w:val="523E2279"/>
    <w:rsid w:val="526C67A8"/>
    <w:rsid w:val="52854557"/>
    <w:rsid w:val="52963C92"/>
    <w:rsid w:val="52DA41EC"/>
    <w:rsid w:val="531A586A"/>
    <w:rsid w:val="531B228D"/>
    <w:rsid w:val="53702648"/>
    <w:rsid w:val="537D4275"/>
    <w:rsid w:val="53A039CC"/>
    <w:rsid w:val="53A1505A"/>
    <w:rsid w:val="53A22660"/>
    <w:rsid w:val="53DD1FE5"/>
    <w:rsid w:val="53FB691A"/>
    <w:rsid w:val="54063E08"/>
    <w:rsid w:val="542D54B9"/>
    <w:rsid w:val="543437E8"/>
    <w:rsid w:val="548F5F1C"/>
    <w:rsid w:val="54B65E06"/>
    <w:rsid w:val="54E516BA"/>
    <w:rsid w:val="54E714E5"/>
    <w:rsid w:val="54EC2385"/>
    <w:rsid w:val="54F73313"/>
    <w:rsid w:val="54F80955"/>
    <w:rsid w:val="55102C57"/>
    <w:rsid w:val="555170A7"/>
    <w:rsid w:val="5587536D"/>
    <w:rsid w:val="559B174B"/>
    <w:rsid w:val="55CE0CF4"/>
    <w:rsid w:val="561F12FE"/>
    <w:rsid w:val="563B6ADC"/>
    <w:rsid w:val="56404DC1"/>
    <w:rsid w:val="56B22A9C"/>
    <w:rsid w:val="56D83A01"/>
    <w:rsid w:val="57187D26"/>
    <w:rsid w:val="572047E9"/>
    <w:rsid w:val="572C1E68"/>
    <w:rsid w:val="573D17BB"/>
    <w:rsid w:val="57B72A76"/>
    <w:rsid w:val="57C3426C"/>
    <w:rsid w:val="57C63810"/>
    <w:rsid w:val="57CE1F93"/>
    <w:rsid w:val="57E042BB"/>
    <w:rsid w:val="57E62C7A"/>
    <w:rsid w:val="57FF1A49"/>
    <w:rsid w:val="586E7127"/>
    <w:rsid w:val="588743D1"/>
    <w:rsid w:val="5887701A"/>
    <w:rsid w:val="589E02D5"/>
    <w:rsid w:val="58B92541"/>
    <w:rsid w:val="58BC69CF"/>
    <w:rsid w:val="59216481"/>
    <w:rsid w:val="59424293"/>
    <w:rsid w:val="595F72A0"/>
    <w:rsid w:val="5978473E"/>
    <w:rsid w:val="5997731E"/>
    <w:rsid w:val="599D3959"/>
    <w:rsid w:val="59C0439F"/>
    <w:rsid w:val="59E56F45"/>
    <w:rsid w:val="59F048C6"/>
    <w:rsid w:val="5A0C1EE5"/>
    <w:rsid w:val="5A524B01"/>
    <w:rsid w:val="5A9009D2"/>
    <w:rsid w:val="5ABE2233"/>
    <w:rsid w:val="5AF34ED0"/>
    <w:rsid w:val="5B10603A"/>
    <w:rsid w:val="5B6625CF"/>
    <w:rsid w:val="5BDA19DD"/>
    <w:rsid w:val="5BDF5D95"/>
    <w:rsid w:val="5BFE7528"/>
    <w:rsid w:val="5C1219E1"/>
    <w:rsid w:val="5C5D14B8"/>
    <w:rsid w:val="5CA5005D"/>
    <w:rsid w:val="5CAE48E0"/>
    <w:rsid w:val="5CBE70CD"/>
    <w:rsid w:val="5CCC577F"/>
    <w:rsid w:val="5CCE1164"/>
    <w:rsid w:val="5D1851DD"/>
    <w:rsid w:val="5D191420"/>
    <w:rsid w:val="5D2D35B3"/>
    <w:rsid w:val="5D4352DC"/>
    <w:rsid w:val="5D4F2581"/>
    <w:rsid w:val="5D611346"/>
    <w:rsid w:val="5D9F1DED"/>
    <w:rsid w:val="5DD10D6F"/>
    <w:rsid w:val="5E2467F1"/>
    <w:rsid w:val="5E575246"/>
    <w:rsid w:val="5E5D4FB5"/>
    <w:rsid w:val="5E656409"/>
    <w:rsid w:val="5E8A076B"/>
    <w:rsid w:val="5E951265"/>
    <w:rsid w:val="5EDD4A1E"/>
    <w:rsid w:val="5F1A2B43"/>
    <w:rsid w:val="5F491C12"/>
    <w:rsid w:val="5F4F4B0A"/>
    <w:rsid w:val="5F6661AD"/>
    <w:rsid w:val="5F8B538B"/>
    <w:rsid w:val="5FB837BB"/>
    <w:rsid w:val="5FB94E89"/>
    <w:rsid w:val="600744DB"/>
    <w:rsid w:val="60265103"/>
    <w:rsid w:val="60906602"/>
    <w:rsid w:val="60977D4C"/>
    <w:rsid w:val="60A7616F"/>
    <w:rsid w:val="60C40CB7"/>
    <w:rsid w:val="60C81F49"/>
    <w:rsid w:val="60CC405A"/>
    <w:rsid w:val="60E673AF"/>
    <w:rsid w:val="60E80751"/>
    <w:rsid w:val="60EC3887"/>
    <w:rsid w:val="60F23EFB"/>
    <w:rsid w:val="60FD5758"/>
    <w:rsid w:val="61382315"/>
    <w:rsid w:val="61DC6D71"/>
    <w:rsid w:val="61E215D8"/>
    <w:rsid w:val="621B3775"/>
    <w:rsid w:val="62265F1F"/>
    <w:rsid w:val="62341E34"/>
    <w:rsid w:val="62356C42"/>
    <w:rsid w:val="62364782"/>
    <w:rsid w:val="62460D5D"/>
    <w:rsid w:val="6258314A"/>
    <w:rsid w:val="627C1941"/>
    <w:rsid w:val="627C7800"/>
    <w:rsid w:val="627E5269"/>
    <w:rsid w:val="628975C5"/>
    <w:rsid w:val="628C1A1D"/>
    <w:rsid w:val="636A6175"/>
    <w:rsid w:val="63736944"/>
    <w:rsid w:val="63867A9D"/>
    <w:rsid w:val="6394356A"/>
    <w:rsid w:val="63C61B2C"/>
    <w:rsid w:val="63D40BE9"/>
    <w:rsid w:val="64102431"/>
    <w:rsid w:val="643904E7"/>
    <w:rsid w:val="643B15B9"/>
    <w:rsid w:val="645B7788"/>
    <w:rsid w:val="649B674B"/>
    <w:rsid w:val="649C0B18"/>
    <w:rsid w:val="64A5243A"/>
    <w:rsid w:val="64C23AE9"/>
    <w:rsid w:val="64E32A70"/>
    <w:rsid w:val="64F531DE"/>
    <w:rsid w:val="65373578"/>
    <w:rsid w:val="657A7B75"/>
    <w:rsid w:val="658B1C05"/>
    <w:rsid w:val="65CD5D44"/>
    <w:rsid w:val="65EE5FD9"/>
    <w:rsid w:val="660D5046"/>
    <w:rsid w:val="6659469E"/>
    <w:rsid w:val="66771136"/>
    <w:rsid w:val="669C484B"/>
    <w:rsid w:val="66C337E7"/>
    <w:rsid w:val="66D25F52"/>
    <w:rsid w:val="66E66951"/>
    <w:rsid w:val="6706708F"/>
    <w:rsid w:val="671F124A"/>
    <w:rsid w:val="672B6AFF"/>
    <w:rsid w:val="673166A4"/>
    <w:rsid w:val="677A33C6"/>
    <w:rsid w:val="67892B7C"/>
    <w:rsid w:val="67A148B0"/>
    <w:rsid w:val="67E31E0A"/>
    <w:rsid w:val="681F6961"/>
    <w:rsid w:val="68374809"/>
    <w:rsid w:val="68610A2F"/>
    <w:rsid w:val="68805514"/>
    <w:rsid w:val="688954CE"/>
    <w:rsid w:val="68A1354D"/>
    <w:rsid w:val="68C75A79"/>
    <w:rsid w:val="68CC30F8"/>
    <w:rsid w:val="69042CA1"/>
    <w:rsid w:val="690901CC"/>
    <w:rsid w:val="690F0496"/>
    <w:rsid w:val="69111DF5"/>
    <w:rsid w:val="69144CCE"/>
    <w:rsid w:val="69221D4C"/>
    <w:rsid w:val="69316E2F"/>
    <w:rsid w:val="693376BF"/>
    <w:rsid w:val="694E2071"/>
    <w:rsid w:val="69766163"/>
    <w:rsid w:val="697A3B33"/>
    <w:rsid w:val="699C1A51"/>
    <w:rsid w:val="699F4175"/>
    <w:rsid w:val="69A97E3B"/>
    <w:rsid w:val="69B74052"/>
    <w:rsid w:val="69D44760"/>
    <w:rsid w:val="6A255409"/>
    <w:rsid w:val="6A267FC8"/>
    <w:rsid w:val="6A2B2B65"/>
    <w:rsid w:val="6A323A90"/>
    <w:rsid w:val="6A4429D4"/>
    <w:rsid w:val="6A520EC7"/>
    <w:rsid w:val="6A980C99"/>
    <w:rsid w:val="6AF87E20"/>
    <w:rsid w:val="6B2B62BB"/>
    <w:rsid w:val="6B322639"/>
    <w:rsid w:val="6B5F0A69"/>
    <w:rsid w:val="6BA012FB"/>
    <w:rsid w:val="6BB90F67"/>
    <w:rsid w:val="6BC175D1"/>
    <w:rsid w:val="6BC21E6E"/>
    <w:rsid w:val="6BCD1DFF"/>
    <w:rsid w:val="6BD953F8"/>
    <w:rsid w:val="6BED64C6"/>
    <w:rsid w:val="6BF210FF"/>
    <w:rsid w:val="6C354BE3"/>
    <w:rsid w:val="6C636C38"/>
    <w:rsid w:val="6C7A7704"/>
    <w:rsid w:val="6C823765"/>
    <w:rsid w:val="6D2C5D14"/>
    <w:rsid w:val="6D351168"/>
    <w:rsid w:val="6DB34098"/>
    <w:rsid w:val="6DB545B6"/>
    <w:rsid w:val="6DE02FB4"/>
    <w:rsid w:val="6E491D5D"/>
    <w:rsid w:val="6E4F0DF9"/>
    <w:rsid w:val="6E514CED"/>
    <w:rsid w:val="6EB563D5"/>
    <w:rsid w:val="6ED92677"/>
    <w:rsid w:val="6EF2128E"/>
    <w:rsid w:val="6F225983"/>
    <w:rsid w:val="6F513A2D"/>
    <w:rsid w:val="6F761072"/>
    <w:rsid w:val="6F9A2A97"/>
    <w:rsid w:val="6FA31C46"/>
    <w:rsid w:val="6FCF2EC3"/>
    <w:rsid w:val="6FFC5590"/>
    <w:rsid w:val="70095545"/>
    <w:rsid w:val="706D1DD0"/>
    <w:rsid w:val="70856B87"/>
    <w:rsid w:val="70CC19C5"/>
    <w:rsid w:val="70D527EE"/>
    <w:rsid w:val="715B5300"/>
    <w:rsid w:val="71642E02"/>
    <w:rsid w:val="716615CA"/>
    <w:rsid w:val="716C5E59"/>
    <w:rsid w:val="71A90121"/>
    <w:rsid w:val="71A92603"/>
    <w:rsid w:val="71C72A98"/>
    <w:rsid w:val="71D27F8A"/>
    <w:rsid w:val="721F514C"/>
    <w:rsid w:val="72553024"/>
    <w:rsid w:val="725C36D7"/>
    <w:rsid w:val="725F0326"/>
    <w:rsid w:val="726608A1"/>
    <w:rsid w:val="727B779A"/>
    <w:rsid w:val="72AA7672"/>
    <w:rsid w:val="72B629AE"/>
    <w:rsid w:val="72BB5E2B"/>
    <w:rsid w:val="72DB36EB"/>
    <w:rsid w:val="72E4384F"/>
    <w:rsid w:val="73122968"/>
    <w:rsid w:val="7319373A"/>
    <w:rsid w:val="731F5D5E"/>
    <w:rsid w:val="73454CF0"/>
    <w:rsid w:val="73610D05"/>
    <w:rsid w:val="73761542"/>
    <w:rsid w:val="737949FD"/>
    <w:rsid w:val="738241DD"/>
    <w:rsid w:val="73C51AD5"/>
    <w:rsid w:val="73E03A38"/>
    <w:rsid w:val="741E793C"/>
    <w:rsid w:val="745E3944"/>
    <w:rsid w:val="74A0673B"/>
    <w:rsid w:val="74A1161E"/>
    <w:rsid w:val="74D96EAB"/>
    <w:rsid w:val="750B1D5B"/>
    <w:rsid w:val="75593167"/>
    <w:rsid w:val="757235DC"/>
    <w:rsid w:val="75AE16EA"/>
    <w:rsid w:val="75D749B5"/>
    <w:rsid w:val="75E11409"/>
    <w:rsid w:val="75E4007E"/>
    <w:rsid w:val="7635099D"/>
    <w:rsid w:val="764D5D05"/>
    <w:rsid w:val="76C54FA2"/>
    <w:rsid w:val="775C65B3"/>
    <w:rsid w:val="77762421"/>
    <w:rsid w:val="77847A66"/>
    <w:rsid w:val="779827CA"/>
    <w:rsid w:val="77B15DCD"/>
    <w:rsid w:val="77B56B1F"/>
    <w:rsid w:val="77C10F8E"/>
    <w:rsid w:val="77E96907"/>
    <w:rsid w:val="780F09F4"/>
    <w:rsid w:val="783422F1"/>
    <w:rsid w:val="78787A55"/>
    <w:rsid w:val="787D4AFC"/>
    <w:rsid w:val="7892546A"/>
    <w:rsid w:val="78A90480"/>
    <w:rsid w:val="7920055F"/>
    <w:rsid w:val="79314295"/>
    <w:rsid w:val="79461626"/>
    <w:rsid w:val="79933905"/>
    <w:rsid w:val="79954DB6"/>
    <w:rsid w:val="79B759E3"/>
    <w:rsid w:val="79B83386"/>
    <w:rsid w:val="79CA6F82"/>
    <w:rsid w:val="7A1454F7"/>
    <w:rsid w:val="7A206127"/>
    <w:rsid w:val="7A2D4631"/>
    <w:rsid w:val="7A364017"/>
    <w:rsid w:val="7A3C5A1C"/>
    <w:rsid w:val="7A4E0EA9"/>
    <w:rsid w:val="7A5F5C3D"/>
    <w:rsid w:val="7A61422D"/>
    <w:rsid w:val="7A8265E1"/>
    <w:rsid w:val="7A9602C7"/>
    <w:rsid w:val="7AFC79CC"/>
    <w:rsid w:val="7B3A6808"/>
    <w:rsid w:val="7B445598"/>
    <w:rsid w:val="7B532940"/>
    <w:rsid w:val="7B686D42"/>
    <w:rsid w:val="7B841746"/>
    <w:rsid w:val="7BC63FE1"/>
    <w:rsid w:val="7BE443C3"/>
    <w:rsid w:val="7BE56CDB"/>
    <w:rsid w:val="7C5D60D5"/>
    <w:rsid w:val="7C5D64AA"/>
    <w:rsid w:val="7C6B66BE"/>
    <w:rsid w:val="7C6C5AC7"/>
    <w:rsid w:val="7C824F62"/>
    <w:rsid w:val="7C911477"/>
    <w:rsid w:val="7C926ED7"/>
    <w:rsid w:val="7CB176C7"/>
    <w:rsid w:val="7CB54128"/>
    <w:rsid w:val="7CC4280E"/>
    <w:rsid w:val="7CC6544B"/>
    <w:rsid w:val="7CE96622"/>
    <w:rsid w:val="7CF06A24"/>
    <w:rsid w:val="7D0239FF"/>
    <w:rsid w:val="7D276A6F"/>
    <w:rsid w:val="7D575641"/>
    <w:rsid w:val="7D5E40CD"/>
    <w:rsid w:val="7D87202C"/>
    <w:rsid w:val="7D9646CB"/>
    <w:rsid w:val="7DBE7C13"/>
    <w:rsid w:val="7DCD56F2"/>
    <w:rsid w:val="7E0733F5"/>
    <w:rsid w:val="7EA41D49"/>
    <w:rsid w:val="7EDF0CF1"/>
    <w:rsid w:val="7F001CE7"/>
    <w:rsid w:val="7F3B4503"/>
    <w:rsid w:val="7F6646B8"/>
    <w:rsid w:val="7FE47E50"/>
    <w:rsid w:val="7FF60AAF"/>
    <w:rsid w:val="7FFB311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weight="0.5pt" color="#000000" joinstyle="miter"/>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32">
    <w:name w:val="Default Paragraph Font"/>
    <w:semiHidden/>
    <w:qFormat/>
    <w:uiPriority w:val="0"/>
  </w:style>
  <w:style w:type="table" w:default="1" w:styleId="30">
    <w:name w:val="Normal Table"/>
    <w:semiHidden/>
    <w:qFormat/>
    <w:uiPriority w:val="0"/>
    <w:tblPr>
      <w:tblLayout w:type="fixed"/>
      <w:tblCellMar>
        <w:top w:w="0" w:type="dxa"/>
        <w:left w:w="108" w:type="dxa"/>
        <w:bottom w:w="0" w:type="dxa"/>
        <w:right w:w="108" w:type="dxa"/>
      </w:tblCellMar>
    </w:tblPr>
  </w:style>
  <w:style w:type="paragraph" w:styleId="2">
    <w:name w:val="toc 2"/>
    <w:basedOn w:val="1"/>
    <w:next w:val="1"/>
    <w:qFormat/>
    <w:uiPriority w:val="0"/>
    <w:pPr>
      <w:ind w:left="420" w:leftChars="200"/>
    </w:pPr>
  </w:style>
  <w:style w:type="paragraph" w:styleId="6">
    <w:name w:val="Normal Indent"/>
    <w:basedOn w:val="1"/>
    <w:qFormat/>
    <w:uiPriority w:val="0"/>
    <w:pPr>
      <w:ind w:firstLine="420"/>
    </w:pPr>
    <w:rPr>
      <w:szCs w:val="21"/>
      <w:u w:val="none" w:color="000000"/>
    </w:rPr>
  </w:style>
  <w:style w:type="paragraph" w:styleId="7">
    <w:name w:val="annotation text"/>
    <w:basedOn w:val="1"/>
    <w:next w:val="8"/>
    <w:link w:val="39"/>
    <w:semiHidden/>
    <w:qFormat/>
    <w:uiPriority w:val="0"/>
    <w:pPr>
      <w:jc w:val="left"/>
    </w:pPr>
    <w:rPr>
      <w:kern w:val="0"/>
      <w:sz w:val="24"/>
      <w:szCs w:val="20"/>
    </w:rPr>
  </w:style>
  <w:style w:type="paragraph" w:styleId="8">
    <w:name w:val="Body Text Indent 3"/>
    <w:basedOn w:val="1"/>
    <w:next w:val="9"/>
    <w:qFormat/>
    <w:uiPriority w:val="0"/>
    <w:pPr>
      <w:spacing w:after="120"/>
      <w:ind w:left="420" w:leftChars="200"/>
    </w:pPr>
    <w:rPr>
      <w:sz w:val="16"/>
      <w:szCs w:val="16"/>
    </w:rPr>
  </w:style>
  <w:style w:type="paragraph" w:styleId="9">
    <w:name w:val="Balloon Text"/>
    <w:basedOn w:val="1"/>
    <w:next w:val="10"/>
    <w:link w:val="43"/>
    <w:semiHidden/>
    <w:qFormat/>
    <w:uiPriority w:val="0"/>
    <w:rPr>
      <w:kern w:val="0"/>
      <w:sz w:val="18"/>
      <w:szCs w:val="20"/>
    </w:rPr>
  </w:style>
  <w:style w:type="paragraph" w:styleId="10">
    <w:name w:val="Block Text"/>
    <w:basedOn w:val="1"/>
    <w:next w:val="1"/>
    <w:qFormat/>
    <w:uiPriority w:val="0"/>
    <w:pPr>
      <w:spacing w:line="240" w:lineRule="auto"/>
      <w:ind w:left="113" w:right="113" w:firstLine="3584"/>
      <w:jc w:val="center"/>
    </w:pPr>
  </w:style>
  <w:style w:type="paragraph" w:styleId="11">
    <w:name w:val="Body Text"/>
    <w:basedOn w:val="1"/>
    <w:next w:val="12"/>
    <w:link w:val="40"/>
    <w:qFormat/>
    <w:uiPriority w:val="0"/>
    <w:pPr>
      <w:widowControl/>
      <w:snapToGrid w:val="0"/>
      <w:spacing w:before="60" w:after="160" w:line="259" w:lineRule="auto"/>
      <w:ind w:right="113"/>
    </w:pPr>
    <w:rPr>
      <w:kern w:val="0"/>
      <w:sz w:val="18"/>
      <w:szCs w:val="20"/>
    </w:rPr>
  </w:style>
  <w:style w:type="paragraph" w:customStyle="1" w:styleId="12">
    <w:name w:val="Normal (Web)1"/>
    <w:basedOn w:val="1"/>
    <w:next w:val="13"/>
    <w:qFormat/>
    <w:uiPriority w:val="0"/>
    <w:pPr>
      <w:widowControl/>
      <w:jc w:val="left"/>
    </w:pPr>
    <w:rPr>
      <w:rFonts w:ascii="宋体" w:cs="Times New Roman"/>
      <w:kern w:val="0"/>
      <w:sz w:val="24"/>
      <w:szCs w:val="21"/>
    </w:rPr>
  </w:style>
  <w:style w:type="paragraph" w:customStyle="1" w:styleId="13">
    <w:name w:val="Date1"/>
    <w:basedOn w:val="1"/>
    <w:next w:val="1"/>
    <w:qFormat/>
    <w:uiPriority w:val="0"/>
    <w:pPr>
      <w:ind w:left="2500" w:leftChars="2500"/>
    </w:pPr>
  </w:style>
  <w:style w:type="paragraph" w:styleId="14">
    <w:name w:val="Body Text Indent"/>
    <w:basedOn w:val="1"/>
    <w:next w:val="15"/>
    <w:link w:val="41"/>
    <w:qFormat/>
    <w:uiPriority w:val="0"/>
    <w:pPr>
      <w:spacing w:after="120"/>
      <w:ind w:left="420" w:leftChars="200"/>
    </w:pPr>
    <w:rPr>
      <w:kern w:val="0"/>
      <w:sz w:val="24"/>
      <w:szCs w:val="20"/>
    </w:rPr>
  </w:style>
  <w:style w:type="paragraph" w:styleId="15">
    <w:name w:val="header"/>
    <w:basedOn w:val="1"/>
    <w:next w:val="16"/>
    <w:link w:val="45"/>
    <w:qFormat/>
    <w:uiPriority w:val="0"/>
    <w:pPr>
      <w:pBdr>
        <w:bottom w:val="single" w:color="auto" w:sz="6" w:space="1"/>
      </w:pBdr>
      <w:tabs>
        <w:tab w:val="center" w:pos="4153"/>
        <w:tab w:val="right" w:pos="8306"/>
      </w:tabs>
      <w:snapToGrid w:val="0"/>
      <w:jc w:val="center"/>
    </w:pPr>
    <w:rPr>
      <w:kern w:val="0"/>
      <w:sz w:val="18"/>
      <w:szCs w:val="20"/>
    </w:rPr>
  </w:style>
  <w:style w:type="paragraph" w:customStyle="1" w:styleId="16">
    <w:name w:val="样式5"/>
    <w:basedOn w:val="1"/>
    <w:qFormat/>
    <w:uiPriority w:val="0"/>
    <w:pPr>
      <w:spacing w:before="0" w:after="0" w:line="380" w:lineRule="exact"/>
      <w:ind w:firstLine="566" w:firstLineChars="202"/>
    </w:pPr>
    <w:rPr>
      <w:rFonts w:eastAsia="华文行楷"/>
    </w:rPr>
  </w:style>
  <w:style w:type="paragraph" w:styleId="17">
    <w:name w:val="Plain Text"/>
    <w:basedOn w:val="1"/>
    <w:qFormat/>
    <w:uiPriority w:val="0"/>
    <w:rPr>
      <w:rFonts w:ascii="宋体" w:hAnsi="Courier New" w:eastAsia="仿宋_GB2312"/>
      <w:sz w:val="28"/>
      <w:szCs w:val="20"/>
    </w:rPr>
  </w:style>
  <w:style w:type="paragraph" w:styleId="18">
    <w:name w:val="List Bullet 5"/>
    <w:basedOn w:val="1"/>
    <w:qFormat/>
    <w:uiPriority w:val="0"/>
    <w:pPr>
      <w:numPr>
        <w:ilvl w:val="0"/>
        <w:numId w:val="1"/>
      </w:numPr>
    </w:pPr>
  </w:style>
  <w:style w:type="paragraph" w:styleId="19">
    <w:name w:val="Date"/>
    <w:basedOn w:val="1"/>
    <w:next w:val="1"/>
    <w:link w:val="42"/>
    <w:qFormat/>
    <w:uiPriority w:val="0"/>
    <w:pPr>
      <w:ind w:left="100" w:leftChars="2500"/>
    </w:pPr>
    <w:rPr>
      <w:kern w:val="0"/>
      <w:sz w:val="24"/>
      <w:szCs w:val="20"/>
    </w:rPr>
  </w:style>
  <w:style w:type="paragraph" w:styleId="20">
    <w:name w:val="Body Text Indent 2"/>
    <w:basedOn w:val="1"/>
    <w:qFormat/>
    <w:uiPriority w:val="0"/>
    <w:pPr>
      <w:spacing w:after="120" w:afterLines="0" w:line="480" w:lineRule="auto"/>
      <w:ind w:left="420" w:leftChars="200"/>
    </w:pPr>
    <w:rPr>
      <w:kern w:val="0"/>
      <w:sz w:val="28"/>
      <w:szCs w:val="20"/>
    </w:rPr>
  </w:style>
  <w:style w:type="paragraph" w:styleId="21">
    <w:name w:val="footer"/>
    <w:basedOn w:val="1"/>
    <w:link w:val="44"/>
    <w:qFormat/>
    <w:uiPriority w:val="99"/>
    <w:pPr>
      <w:tabs>
        <w:tab w:val="center" w:pos="4153"/>
        <w:tab w:val="right" w:pos="8306"/>
      </w:tabs>
      <w:snapToGrid w:val="0"/>
      <w:jc w:val="left"/>
    </w:pPr>
    <w:rPr>
      <w:kern w:val="0"/>
      <w:sz w:val="18"/>
      <w:szCs w:val="20"/>
    </w:rPr>
  </w:style>
  <w:style w:type="paragraph" w:styleId="22">
    <w:name w:val="toc 1"/>
    <w:basedOn w:val="1"/>
    <w:next w:val="1"/>
    <w:qFormat/>
    <w:uiPriority w:val="39"/>
  </w:style>
  <w:style w:type="paragraph" w:styleId="23">
    <w:name w:val="List"/>
    <w:basedOn w:val="1"/>
    <w:qFormat/>
    <w:uiPriority w:val="0"/>
    <w:pPr>
      <w:jc w:val="center"/>
    </w:pPr>
    <w:rPr>
      <w:kern w:val="0"/>
      <w:szCs w:val="20"/>
    </w:rPr>
  </w:style>
  <w:style w:type="paragraph" w:styleId="24">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spacing w:line="240" w:lineRule="auto"/>
      <w:ind w:left="1080" w:leftChars="500" w:hanging="1080" w:hangingChars="500"/>
    </w:pPr>
    <w:rPr>
      <w:rFonts w:ascii="Arial" w:hAnsi="Arial" w:cs="Arial"/>
      <w:szCs w:val="24"/>
      <w:shd w:val="pct20" w:color="auto" w:fill="auto"/>
    </w:rPr>
  </w:style>
  <w:style w:type="paragraph" w:styleId="25">
    <w:name w:val="Normal (Web)"/>
    <w:basedOn w:val="1"/>
    <w:link w:val="46"/>
    <w:qFormat/>
    <w:uiPriority w:val="0"/>
    <w:pPr>
      <w:widowControl/>
      <w:spacing w:before="100" w:beforeAutospacing="1" w:after="100" w:afterAutospacing="1"/>
      <w:jc w:val="left"/>
    </w:pPr>
    <w:rPr>
      <w:rFonts w:ascii="宋体" w:hAnsi="宋体"/>
      <w:kern w:val="0"/>
      <w:sz w:val="24"/>
      <w:szCs w:val="20"/>
    </w:rPr>
  </w:style>
  <w:style w:type="paragraph" w:styleId="26">
    <w:name w:val="annotation subject"/>
    <w:basedOn w:val="7"/>
    <w:next w:val="7"/>
    <w:link w:val="47"/>
    <w:semiHidden/>
    <w:qFormat/>
    <w:uiPriority w:val="0"/>
    <w:rPr>
      <w:b/>
      <w:sz w:val="24"/>
      <w:szCs w:val="20"/>
    </w:rPr>
  </w:style>
  <w:style w:type="paragraph" w:styleId="27">
    <w:name w:val="Body Text First Indent"/>
    <w:basedOn w:val="1"/>
    <w:next w:val="28"/>
    <w:qFormat/>
    <w:uiPriority w:val="0"/>
    <w:pPr>
      <w:ind w:firstLine="420" w:firstLineChars="100"/>
    </w:pPr>
  </w:style>
  <w:style w:type="paragraph" w:customStyle="1" w:styleId="28">
    <w:name w:val="样式 正文首行缩进 + 首行缩进:  2 字符1"/>
    <w:basedOn w:val="1"/>
    <w:next w:val="22"/>
    <w:qFormat/>
    <w:uiPriority w:val="0"/>
    <w:pPr>
      <w:spacing w:line="360" w:lineRule="auto"/>
      <w:ind w:firstLine="480" w:firstLineChars="200"/>
    </w:pPr>
    <w:rPr>
      <w:sz w:val="24"/>
    </w:rPr>
  </w:style>
  <w:style w:type="paragraph" w:styleId="29">
    <w:name w:val="Body Text First Indent 2"/>
    <w:basedOn w:val="14"/>
    <w:next w:val="1"/>
    <w:qFormat/>
    <w:uiPriority w:val="0"/>
    <w:pPr>
      <w:ind w:firstLine="420" w:firstLineChars="200"/>
    </w:pPr>
  </w:style>
  <w:style w:type="table" w:styleId="31">
    <w:name w:val="Table Grid"/>
    <w:basedOn w:val="30"/>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33">
    <w:name w:val="page number"/>
    <w:basedOn w:val="32"/>
    <w:qFormat/>
    <w:uiPriority w:val="0"/>
  </w:style>
  <w:style w:type="character" w:styleId="34">
    <w:name w:val="Hyperlink"/>
    <w:qFormat/>
    <w:uiPriority w:val="99"/>
    <w:rPr>
      <w:color w:val="3366CC"/>
      <w:u w:val="single"/>
    </w:rPr>
  </w:style>
  <w:style w:type="character" w:styleId="35">
    <w:name w:val="annotation reference"/>
    <w:semiHidden/>
    <w:qFormat/>
    <w:uiPriority w:val="0"/>
    <w:rPr>
      <w:sz w:val="21"/>
    </w:rPr>
  </w:style>
  <w:style w:type="paragraph" w:customStyle="1" w:styleId="36">
    <w:name w:val="Default"/>
    <w:basedOn w:val="37"/>
    <w:next w:val="1"/>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37">
    <w:name w:val="纯文本1"/>
    <w:qFormat/>
    <w:uiPriority w:val="0"/>
    <w:pPr>
      <w:adjustRightInd w:val="0"/>
      <w:jc w:val="center"/>
      <w:textAlignment w:val="baseline"/>
    </w:pPr>
    <w:rPr>
      <w:rFonts w:ascii="宋体" w:hAnsi="Courier New" w:eastAsia="宋体" w:cs="Times New Roman"/>
      <w:sz w:val="24"/>
      <w:lang w:val="en-US" w:eastAsia="zh-CN" w:bidi="ar-SA"/>
    </w:rPr>
  </w:style>
  <w:style w:type="paragraph" w:customStyle="1" w:styleId="38">
    <w:name w:val="11111"/>
    <w:basedOn w:val="1"/>
    <w:next w:val="1"/>
    <w:qFormat/>
    <w:uiPriority w:val="99"/>
    <w:pPr>
      <w:spacing w:line="360" w:lineRule="auto"/>
      <w:ind w:firstLine="200" w:firstLineChars="200"/>
    </w:pPr>
    <w:rPr>
      <w:rFonts w:ascii="宋体" w:hAnsi="宋体" w:cs="宋体"/>
      <w:sz w:val="24"/>
      <w:szCs w:val="24"/>
    </w:rPr>
  </w:style>
  <w:style w:type="character" w:customStyle="1" w:styleId="39">
    <w:name w:val="批注文字 Char"/>
    <w:link w:val="7"/>
    <w:qFormat/>
    <w:uiPriority w:val="0"/>
    <w:rPr>
      <w:rFonts w:ascii="Times New Roman" w:hAnsi="Times New Roman" w:eastAsia="宋体"/>
      <w:sz w:val="24"/>
    </w:rPr>
  </w:style>
  <w:style w:type="character" w:customStyle="1" w:styleId="40">
    <w:name w:val="正文文本 Char"/>
    <w:link w:val="11"/>
    <w:qFormat/>
    <w:uiPriority w:val="0"/>
    <w:rPr>
      <w:sz w:val="18"/>
    </w:rPr>
  </w:style>
  <w:style w:type="character" w:customStyle="1" w:styleId="41">
    <w:name w:val="正文文本缩进 Char"/>
    <w:link w:val="14"/>
    <w:semiHidden/>
    <w:qFormat/>
    <w:uiPriority w:val="0"/>
    <w:rPr>
      <w:rFonts w:ascii="Times New Roman" w:hAnsi="Times New Roman" w:eastAsia="宋体"/>
      <w:sz w:val="24"/>
    </w:rPr>
  </w:style>
  <w:style w:type="character" w:customStyle="1" w:styleId="42">
    <w:name w:val="日期 Char"/>
    <w:link w:val="19"/>
    <w:qFormat/>
    <w:uiPriority w:val="0"/>
    <w:rPr>
      <w:rFonts w:ascii="Times New Roman" w:hAnsi="Times New Roman" w:eastAsia="宋体"/>
      <w:sz w:val="24"/>
    </w:rPr>
  </w:style>
  <w:style w:type="character" w:customStyle="1" w:styleId="43">
    <w:name w:val="批注框文本 Char"/>
    <w:link w:val="9"/>
    <w:semiHidden/>
    <w:qFormat/>
    <w:uiPriority w:val="0"/>
    <w:rPr>
      <w:rFonts w:ascii="Times New Roman" w:hAnsi="Times New Roman" w:eastAsia="宋体"/>
      <w:sz w:val="18"/>
    </w:rPr>
  </w:style>
  <w:style w:type="character" w:customStyle="1" w:styleId="44">
    <w:name w:val="页脚 Char"/>
    <w:link w:val="21"/>
    <w:qFormat/>
    <w:uiPriority w:val="99"/>
    <w:rPr>
      <w:sz w:val="18"/>
    </w:rPr>
  </w:style>
  <w:style w:type="character" w:customStyle="1" w:styleId="45">
    <w:name w:val="页眉 Char"/>
    <w:link w:val="15"/>
    <w:qFormat/>
    <w:uiPriority w:val="0"/>
    <w:rPr>
      <w:sz w:val="18"/>
    </w:rPr>
  </w:style>
  <w:style w:type="character" w:customStyle="1" w:styleId="46">
    <w:name w:val="普通(网站) Char"/>
    <w:link w:val="25"/>
    <w:qFormat/>
    <w:uiPriority w:val="0"/>
    <w:rPr>
      <w:rFonts w:ascii="宋体" w:hAnsi="宋体" w:eastAsia="宋体"/>
      <w:sz w:val="24"/>
    </w:rPr>
  </w:style>
  <w:style w:type="character" w:customStyle="1" w:styleId="47">
    <w:name w:val="批注主题 Char"/>
    <w:link w:val="26"/>
    <w:semiHidden/>
    <w:qFormat/>
    <w:uiPriority w:val="0"/>
    <w:rPr>
      <w:rFonts w:ascii="Times New Roman" w:hAnsi="Times New Roman" w:eastAsia="宋体"/>
      <w:b/>
      <w:kern w:val="2"/>
      <w:sz w:val="24"/>
    </w:rPr>
  </w:style>
  <w:style w:type="paragraph" w:customStyle="1" w:styleId="48">
    <w:name w:val="【正文】"/>
    <w:basedOn w:val="1"/>
    <w:qFormat/>
    <w:uiPriority w:val="0"/>
    <w:pPr>
      <w:spacing w:line="440" w:lineRule="exact"/>
      <w:ind w:firstLine="544" w:firstLineChars="200"/>
    </w:pPr>
    <w:rPr>
      <w:rFonts w:ascii="Times New Roman" w:hAnsi="Times New Roman" w:eastAsia="Times New Roman" w:cs="Times New Roman"/>
      <w:sz w:val="24"/>
      <w:szCs w:val="20"/>
    </w:rPr>
  </w:style>
  <w:style w:type="character" w:customStyle="1" w:styleId="49">
    <w:name w:val="zhengwencolor1"/>
    <w:qFormat/>
    <w:uiPriority w:val="0"/>
    <w:rPr>
      <w:color w:val="000000"/>
      <w:sz w:val="18"/>
      <w:szCs w:val="18"/>
    </w:rPr>
  </w:style>
  <w:style w:type="character" w:customStyle="1" w:styleId="50">
    <w:name w:val="日期 字符"/>
    <w:semiHidden/>
    <w:qFormat/>
    <w:uiPriority w:val="0"/>
    <w:rPr>
      <w:rFonts w:ascii="Times New Roman" w:hAnsi="Times New Roman" w:eastAsia="宋体"/>
      <w:sz w:val="24"/>
    </w:rPr>
  </w:style>
  <w:style w:type="character" w:customStyle="1" w:styleId="51">
    <w:name w:val="表中文字 Char"/>
    <w:basedOn w:val="32"/>
    <w:link w:val="52"/>
    <w:qFormat/>
    <w:uiPriority w:val="0"/>
    <w:rPr>
      <w:rFonts w:ascii="Times New Roman" w:hAnsi="Times New Roman" w:cs="Times New Roman"/>
      <w:kern w:val="2"/>
      <w:sz w:val="21"/>
    </w:rPr>
  </w:style>
  <w:style w:type="paragraph" w:customStyle="1" w:styleId="52">
    <w:name w:val="表中文字"/>
    <w:basedOn w:val="1"/>
    <w:link w:val="51"/>
    <w:qFormat/>
    <w:uiPriority w:val="0"/>
    <w:pPr>
      <w:widowControl w:val="0"/>
      <w:spacing w:line="240" w:lineRule="auto"/>
      <w:ind w:firstLine="0" w:firstLineChars="0"/>
      <w:jc w:val="center"/>
    </w:pPr>
    <w:rPr>
      <w:rFonts w:ascii="Times New Roman" w:hAnsi="Times New Roman" w:cs="Times New Roman"/>
      <w:kern w:val="2"/>
      <w:sz w:val="21"/>
    </w:rPr>
  </w:style>
  <w:style w:type="character" w:customStyle="1" w:styleId="53">
    <w:name w:val="正文文本 字符1"/>
    <w:semiHidden/>
    <w:qFormat/>
    <w:uiPriority w:val="0"/>
    <w:rPr>
      <w:rFonts w:ascii="Times New Roman" w:hAnsi="Times New Roman" w:eastAsia="宋体"/>
      <w:sz w:val="24"/>
    </w:rPr>
  </w:style>
  <w:style w:type="character" w:customStyle="1" w:styleId="54">
    <w:name w:val="正文文本 (2) Exact"/>
    <w:unhideWhenUsed/>
    <w:qFormat/>
    <w:uiPriority w:val="99"/>
    <w:rPr>
      <w:rFonts w:hint="default" w:ascii="宋体" w:hAnsi="宋体" w:eastAsia="宋体"/>
      <w:sz w:val="22"/>
      <w:lang w:val="en-US" w:eastAsia="en-US"/>
    </w:rPr>
  </w:style>
  <w:style w:type="character" w:customStyle="1" w:styleId="55">
    <w:name w:val="页脚 字符"/>
    <w:basedOn w:val="32"/>
    <w:qFormat/>
    <w:uiPriority w:val="99"/>
  </w:style>
  <w:style w:type="character" w:customStyle="1" w:styleId="56">
    <w:name w:val="表格 Char"/>
    <w:link w:val="57"/>
    <w:qFormat/>
    <w:uiPriority w:val="0"/>
    <w:rPr>
      <w:rFonts w:ascii="宋体"/>
      <w:sz w:val="21"/>
    </w:rPr>
  </w:style>
  <w:style w:type="paragraph" w:customStyle="1" w:styleId="57">
    <w:name w:val="表格"/>
    <w:basedOn w:val="1"/>
    <w:next w:val="1"/>
    <w:link w:val="56"/>
    <w:qFormat/>
    <w:uiPriority w:val="0"/>
    <w:pPr>
      <w:adjustRightInd w:val="0"/>
      <w:snapToGrid w:val="0"/>
      <w:spacing w:beforeLines="10" w:afterLines="10" w:line="259" w:lineRule="auto"/>
      <w:jc w:val="center"/>
    </w:pPr>
    <w:rPr>
      <w:rFonts w:ascii="宋体"/>
      <w:kern w:val="0"/>
      <w:szCs w:val="20"/>
    </w:rPr>
  </w:style>
  <w:style w:type="character" w:customStyle="1" w:styleId="58">
    <w:name w:val="批注文字 字符1"/>
    <w:semiHidden/>
    <w:qFormat/>
    <w:uiPriority w:val="0"/>
    <w:rPr>
      <w:rFonts w:ascii="Times New Roman" w:hAnsi="Times New Roman" w:eastAsia="宋体"/>
      <w:sz w:val="24"/>
    </w:rPr>
  </w:style>
  <w:style w:type="paragraph" w:customStyle="1" w:styleId="59">
    <w:name w:val="xl27"/>
    <w:basedOn w:val="1"/>
    <w:next w:val="20"/>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pPr>
    <w:rPr>
      <w:kern w:val="0"/>
      <w:szCs w:val="20"/>
    </w:rPr>
  </w:style>
  <w:style w:type="paragraph" w:customStyle="1" w:styleId="60">
    <w:name w:val="WPSOffice手动目录 1"/>
    <w:qFormat/>
    <w:uiPriority w:val="0"/>
    <w:pPr>
      <w:ind w:leftChars="0"/>
    </w:pPr>
    <w:rPr>
      <w:rFonts w:ascii="Times New Roman" w:hAnsi="Times New Roman" w:eastAsia="宋体" w:cs="Times New Roman"/>
      <w:sz w:val="20"/>
      <w:szCs w:val="20"/>
    </w:rPr>
  </w:style>
  <w:style w:type="paragraph" w:customStyle="1" w:styleId="61">
    <w:name w:val="正文格式"/>
    <w:basedOn w:val="1"/>
    <w:next w:val="1"/>
    <w:qFormat/>
    <w:uiPriority w:val="0"/>
    <w:pPr>
      <w:spacing w:line="360" w:lineRule="auto"/>
      <w:ind w:firstLine="482"/>
    </w:pPr>
    <w:rPr>
      <w:sz w:val="24"/>
      <w:szCs w:val="24"/>
    </w:rPr>
  </w:style>
  <w:style w:type="paragraph" w:customStyle="1" w:styleId="62">
    <w:name w:val="样式 Times New Roman 五号 居中1"/>
    <w:basedOn w:val="1"/>
    <w:next w:val="63"/>
    <w:qFormat/>
    <w:uiPriority w:val="99"/>
    <w:pPr>
      <w:jc w:val="center"/>
    </w:pPr>
    <w:rPr>
      <w:rFonts w:ascii="Times New Roman" w:hAnsi="Times New Roman" w:cs="宋体"/>
      <w:szCs w:val="21"/>
    </w:rPr>
  </w:style>
  <w:style w:type="paragraph" w:customStyle="1" w:styleId="63">
    <w:name w:val="表头"/>
    <w:basedOn w:val="23"/>
    <w:next w:val="1"/>
    <w:qFormat/>
    <w:uiPriority w:val="0"/>
    <w:pPr>
      <w:numPr>
        <w:ilvl w:val="0"/>
        <w:numId w:val="2"/>
      </w:numPr>
    </w:pPr>
    <w:rPr>
      <w:rFonts w:eastAsia="黑体"/>
    </w:rPr>
  </w:style>
  <w:style w:type="paragraph" w:customStyle="1" w:styleId="64">
    <w:name w:val="样式4"/>
    <w:basedOn w:val="1"/>
    <w:qFormat/>
    <w:uiPriority w:val="0"/>
    <w:pPr>
      <w:adjustRightInd w:val="0"/>
      <w:snapToGrid w:val="0"/>
      <w:jc w:val="center"/>
    </w:pPr>
    <w:rPr>
      <w:sz w:val="24"/>
      <w:szCs w:val="20"/>
    </w:rPr>
  </w:style>
  <w:style w:type="paragraph" w:customStyle="1" w:styleId="65">
    <w:name w:val="正文的"/>
    <w:basedOn w:val="1"/>
    <w:qFormat/>
    <w:uiPriority w:val="0"/>
    <w:pPr>
      <w:spacing w:line="360" w:lineRule="auto"/>
      <w:ind w:firstLine="480" w:firstLineChars="200"/>
    </w:pPr>
    <w:rPr>
      <w:rFonts w:ascii="宋体" w:hAnsi="Times New Roman" w:cs="Calibri"/>
      <w:kern w:val="0"/>
      <w:sz w:val="24"/>
      <w:szCs w:val="20"/>
    </w:rPr>
  </w:style>
  <w:style w:type="paragraph" w:customStyle="1" w:styleId="66">
    <w:name w:val="Char"/>
    <w:basedOn w:val="1"/>
    <w:qFormat/>
    <w:uiPriority w:val="0"/>
    <w:pPr>
      <w:snapToGrid w:val="0"/>
      <w:spacing w:line="440" w:lineRule="atLeast"/>
      <w:ind w:firstLine="200" w:firstLineChars="200"/>
    </w:pPr>
  </w:style>
  <w:style w:type="paragraph" w:customStyle="1" w:styleId="67">
    <w:name w:val="①JM表格 居中"/>
    <w:basedOn w:val="1"/>
    <w:next w:val="1"/>
    <w:qFormat/>
    <w:uiPriority w:val="0"/>
    <w:pPr>
      <w:spacing w:line="240" w:lineRule="auto"/>
      <w:ind w:firstLine="0" w:firstLineChars="0"/>
      <w:jc w:val="center"/>
    </w:pPr>
    <w:rPr>
      <w:rFonts w:ascii="Times New Roman" w:hAnsi="Times New Roman"/>
      <w:sz w:val="21"/>
    </w:rPr>
  </w:style>
  <w:style w:type="paragraph" w:customStyle="1" w:styleId="68">
    <w:name w:val="2表中文字"/>
    <w:qFormat/>
    <w:uiPriority w:val="0"/>
    <w:pPr>
      <w:jc w:val="center"/>
    </w:pPr>
    <w:rPr>
      <w:rFonts w:ascii="Calibri" w:hAnsi="Calibri" w:eastAsia="宋体" w:cs="Times New Roman"/>
      <w:kern w:val="2"/>
      <w:sz w:val="21"/>
      <w:szCs w:val="21"/>
      <w:lang w:val="en-US" w:eastAsia="zh-CN" w:bidi="ar-SA"/>
    </w:rPr>
  </w:style>
  <w:style w:type="paragraph" w:customStyle="1" w:styleId="69">
    <w:name w:val="报告书正文"/>
    <w:basedOn w:val="1"/>
    <w:qFormat/>
    <w:uiPriority w:val="0"/>
    <w:pPr>
      <w:adjustRightInd w:val="0"/>
      <w:snapToGrid w:val="0"/>
      <w:spacing w:line="360" w:lineRule="auto"/>
      <w:ind w:firstLine="425"/>
    </w:pPr>
    <w:rPr>
      <w:rFonts w:ascii="Arial" w:hAnsi="Arial" w:eastAsia="宋体" w:cs="Arial"/>
      <w:sz w:val="24"/>
    </w:rPr>
  </w:style>
  <w:style w:type="paragraph" w:customStyle="1" w:styleId="70">
    <w:name w:val="1黑体头"/>
    <w:basedOn w:val="1"/>
    <w:qFormat/>
    <w:uiPriority w:val="0"/>
    <w:pPr>
      <w:spacing w:line="360" w:lineRule="auto"/>
      <w:ind w:firstLine="479" w:firstLineChars="199"/>
      <w:jc w:val="left"/>
      <w:textAlignment w:val="center"/>
    </w:pPr>
    <w:rPr>
      <w:b/>
      <w:sz w:val="24"/>
    </w:rPr>
  </w:style>
  <w:style w:type="paragraph" w:customStyle="1" w:styleId="71">
    <w:name w:val="Char Char Char Char Char Char Char1"/>
    <w:basedOn w:val="1"/>
    <w:qFormat/>
    <w:uiPriority w:val="0"/>
    <w:pPr>
      <w:spacing w:line="360" w:lineRule="auto"/>
      <w:ind w:firstLine="200" w:firstLineChars="200"/>
    </w:pPr>
    <w:rPr>
      <w:rFonts w:ascii="宋体" w:hAnsi="宋体" w:cs="宋体"/>
      <w:sz w:val="24"/>
    </w:rPr>
  </w:style>
  <w:style w:type="paragraph" w:customStyle="1" w:styleId="72">
    <w:name w:val="②JM正文 顶格"/>
    <w:basedOn w:val="67"/>
    <w:next w:val="73"/>
    <w:qFormat/>
    <w:uiPriority w:val="0"/>
    <w:pPr>
      <w:jc w:val="left"/>
    </w:pPr>
  </w:style>
  <w:style w:type="paragraph" w:customStyle="1" w:styleId="73">
    <w:name w:val="②JM正文"/>
    <w:basedOn w:val="72"/>
    <w:qFormat/>
    <w:uiPriority w:val="0"/>
    <w:pPr>
      <w:ind w:firstLine="720" w:firstLineChars="200"/>
    </w:pPr>
  </w:style>
  <w:style w:type="paragraph" w:customStyle="1" w:styleId="74">
    <w:name w:val="【表中文字】"/>
    <w:basedOn w:val="1"/>
    <w:qFormat/>
    <w:uiPriority w:val="0"/>
    <w:pPr>
      <w:adjustRightInd w:val="0"/>
      <w:snapToGrid w:val="0"/>
      <w:jc w:val="center"/>
    </w:pPr>
    <w:rPr>
      <w:rFonts w:ascii="Times New Roman" w:hAnsi="Times New Roman"/>
      <w:szCs w:val="20"/>
    </w:rPr>
  </w:style>
  <w:style w:type="paragraph" w:customStyle="1" w:styleId="75">
    <w:name w:val="②JM表格小标题 仿宋"/>
    <w:basedOn w:val="67"/>
    <w:next w:val="73"/>
    <w:qFormat/>
    <w:uiPriority w:val="0"/>
    <w:rPr>
      <w:rFonts w:eastAsia="仿宋"/>
      <w:b/>
    </w:rPr>
  </w:style>
  <w:style w:type="paragraph" w:customStyle="1" w:styleId="76">
    <w:name w:val="内容"/>
    <w:basedOn w:val="1"/>
    <w:qFormat/>
    <w:uiPriority w:val="0"/>
    <w:pPr>
      <w:spacing w:before="50" w:beforeLines="50" w:after="50" w:afterLines="50"/>
      <w:ind w:firstLine="200" w:firstLineChars="200"/>
    </w:pPr>
    <w:rPr>
      <w:color w:val="000000"/>
      <w:sz w:val="24"/>
    </w:rPr>
  </w:style>
  <w:style w:type="paragraph" w:customStyle="1" w:styleId="77">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79">
    <w:name w:val="②JM表格 居中 仿宋"/>
    <w:basedOn w:val="75"/>
    <w:next w:val="73"/>
    <w:qFormat/>
    <w:uiPriority w:val="0"/>
    <w:rPr>
      <w:b w:val="0"/>
    </w:rPr>
  </w:style>
  <w:style w:type="paragraph" w:customStyle="1" w:styleId="80">
    <w:name w:val="【表头】"/>
    <w:basedOn w:val="1"/>
    <w:next w:val="1"/>
    <w:qFormat/>
    <w:uiPriority w:val="0"/>
    <w:pPr>
      <w:adjustRightInd w:val="0"/>
      <w:snapToGrid w:val="0"/>
      <w:jc w:val="center"/>
    </w:pPr>
    <w:rPr>
      <w:rFonts w:ascii="Times New Roman" w:hAnsi="Times New Roman" w:eastAsia="黑体" w:cs="Times New Roman"/>
      <w:sz w:val="24"/>
    </w:rPr>
  </w:style>
  <w:style w:type="paragraph" w:customStyle="1" w:styleId="81">
    <w:name w:val="段落正文"/>
    <w:basedOn w:val="1"/>
    <w:qFormat/>
    <w:uiPriority w:val="0"/>
    <w:pPr>
      <w:spacing w:line="500" w:lineRule="atLeast"/>
      <w:ind w:firstLine="200" w:firstLineChars="200"/>
    </w:pPr>
    <w:rPr>
      <w:rFonts w:eastAsia="仿宋_GB2312"/>
      <w:sz w:val="28"/>
      <w:szCs w:val="28"/>
    </w:rPr>
  </w:style>
  <w:style w:type="paragraph" w:customStyle="1" w:styleId="82">
    <w:name w:val="设计表格"/>
    <w:basedOn w:val="1"/>
    <w:qFormat/>
    <w:uiPriority w:val="0"/>
    <w:pPr>
      <w:adjustRightInd w:val="0"/>
      <w:jc w:val="center"/>
    </w:pPr>
    <w:rPr>
      <w:rFonts w:ascii="Times New Roman" w:hAnsi="Times New Roman" w:eastAsia="宋体" w:cs="Times New Roman"/>
      <w:kern w:val="0"/>
      <w:sz w:val="24"/>
    </w:rPr>
  </w:style>
  <w:style w:type="paragraph" w:customStyle="1" w:styleId="83">
    <w:name w:val="表头1"/>
    <w:basedOn w:val="1"/>
    <w:next w:val="1"/>
    <w:qFormat/>
    <w:uiPriority w:val="0"/>
    <w:pPr>
      <w:tabs>
        <w:tab w:val="left" w:pos="605"/>
      </w:tabs>
      <w:adjustRightInd w:val="0"/>
      <w:snapToGrid w:val="0"/>
      <w:jc w:val="center"/>
    </w:pPr>
    <w:rPr>
      <w:rFonts w:eastAsia="仿宋_GB2312"/>
      <w:b/>
      <w:kern w:val="0"/>
      <w:sz w:val="24"/>
      <w:szCs w:val="28"/>
    </w:rPr>
  </w:style>
  <w:style w:type="paragraph" w:customStyle="1" w:styleId="84">
    <w:name w:val="表内容"/>
    <w:basedOn w:val="1"/>
    <w:next w:val="1"/>
    <w:qFormat/>
    <w:uiPriority w:val="0"/>
    <w:pPr>
      <w:spacing w:line="240" w:lineRule="auto"/>
      <w:ind w:firstLine="0" w:firstLineChars="0"/>
      <w:jc w:val="center"/>
    </w:pPr>
    <w:rPr>
      <w:sz w:val="21"/>
      <w:szCs w:val="20"/>
    </w:rPr>
  </w:style>
  <w:style w:type="paragraph" w:customStyle="1" w:styleId="85">
    <w:name w:val="Table Paragraph"/>
    <w:basedOn w:val="1"/>
    <w:qFormat/>
    <w:uiPriority w:val="0"/>
    <w:pPr>
      <w:keepNext w:val="0"/>
      <w:keepLines w:val="0"/>
      <w:widowControl w:val="0"/>
      <w:suppressLineNumbers w:val="0"/>
      <w:autoSpaceDE w:val="0"/>
      <w:autoSpaceDN w:val="0"/>
      <w:spacing w:before="0" w:beforeAutospacing="0" w:after="0" w:afterAutospacing="0" w:line="240" w:lineRule="auto"/>
      <w:ind w:left="0" w:right="0"/>
      <w:jc w:val="center"/>
    </w:pPr>
    <w:rPr>
      <w:rFonts w:hint="eastAsia" w:ascii="仿宋" w:hAnsi="仿宋" w:eastAsia="仿宋" w:cs="仿宋"/>
      <w:kern w:val="0"/>
      <w:sz w:val="22"/>
      <w:szCs w:val="22"/>
      <w:lang w:val="en-US" w:eastAsia="zh-CN" w:bidi="ar"/>
    </w:rPr>
  </w:style>
  <w:style w:type="paragraph" w:customStyle="1" w:styleId="86">
    <w:name w:val="表图头"/>
    <w:basedOn w:val="65"/>
    <w:qFormat/>
    <w:uiPriority w:val="0"/>
    <w:pPr>
      <w:ind w:firstLine="0" w:firstLineChars="0"/>
      <w:jc w:val="center"/>
    </w:pPr>
    <w:rPr>
      <w:b/>
      <w:sz w:val="22"/>
    </w:rPr>
  </w:style>
  <w:style w:type="paragraph" w:customStyle="1" w:styleId="87">
    <w:name w:val="正文00"/>
    <w:basedOn w:val="1"/>
    <w:next w:val="62"/>
    <w:qFormat/>
    <w:uiPriority w:val="0"/>
    <w:pPr>
      <w:widowControl/>
      <w:spacing w:line="425" w:lineRule="atLeast"/>
      <w:ind w:left="107" w:leftChars="51" w:right="124" w:rightChars="59" w:firstLine="480"/>
      <w:textAlignment w:val="baseline"/>
    </w:pPr>
    <w:rPr>
      <w:kern w:val="0"/>
      <w:sz w:val="28"/>
      <w:u w:val="none" w:color="000000"/>
    </w:rPr>
  </w:style>
  <w:style w:type="paragraph" w:customStyle="1" w:styleId="88">
    <w:name w:val="环评表中文字"/>
    <w:basedOn w:val="1"/>
    <w:qFormat/>
    <w:uiPriority w:val="0"/>
    <w:pPr>
      <w:widowControl/>
      <w:spacing w:line="240" w:lineRule="auto"/>
      <w:ind w:firstLine="0" w:firstLineChars="0"/>
      <w:jc w:val="center"/>
    </w:pPr>
    <w:rPr>
      <w:rFonts w:ascii="宋体" w:hAnsi="宋体" w:cs="宋体"/>
      <w:kern w:val="0"/>
      <w:szCs w:val="22"/>
    </w:rPr>
  </w:style>
  <w:style w:type="paragraph" w:customStyle="1" w:styleId="89">
    <w:name w:val="_Style 2"/>
    <w:basedOn w:val="1"/>
    <w:qFormat/>
    <w:uiPriority w:val="34"/>
    <w:pPr>
      <w:ind w:firstLine="420" w:firstLineChars="200"/>
    </w:pPr>
    <w:rPr>
      <w:rFonts w:ascii="Calibri" w:hAnsi="Calibri"/>
      <w:szCs w:val="22"/>
    </w:rPr>
  </w:style>
  <w:style w:type="paragraph" w:customStyle="1" w:styleId="90">
    <w:name w:val="我的正文"/>
    <w:basedOn w:val="1"/>
    <w:qFormat/>
    <w:uiPriority w:val="0"/>
    <w:pPr>
      <w:adjustRightInd w:val="0"/>
      <w:snapToGrid w:val="0"/>
      <w:spacing w:line="480" w:lineRule="exact"/>
      <w:ind w:firstLine="720" w:firstLineChars="200"/>
      <w:jc w:val="left"/>
    </w:pPr>
    <w:rPr>
      <w:rFonts w:ascii="Times New Roman" w:hAnsi="Times New Roman" w:eastAsia="宋体" w:cs="宋体"/>
      <w:bCs/>
      <w:szCs w:val="21"/>
    </w:rPr>
  </w:style>
  <w:style w:type="paragraph" w:customStyle="1" w:styleId="91">
    <w:name w:val="《正文》"/>
    <w:basedOn w:val="1"/>
    <w:qFormat/>
    <w:uiPriority w:val="0"/>
    <w:pPr>
      <w:spacing w:line="360" w:lineRule="auto"/>
      <w:ind w:firstLine="200" w:firstLineChars="200"/>
    </w:pPr>
    <w:rPr>
      <w:sz w:val="24"/>
    </w:rPr>
  </w:style>
  <w:style w:type="paragraph" w:customStyle="1" w:styleId="92">
    <w:name w:val="列出段落1"/>
    <w:basedOn w:val="1"/>
    <w:qFormat/>
    <w:uiPriority w:val="0"/>
    <w:pPr>
      <w:ind w:firstLine="420" w:firstLineChars="200"/>
    </w:pPr>
  </w:style>
  <w:style w:type="paragraph" w:customStyle="1" w:styleId="93">
    <w:name w:val="baby-正文"/>
    <w:basedOn w:val="11"/>
    <w:next w:val="9"/>
    <w:qFormat/>
    <w:uiPriority w:val="0"/>
    <w:pPr>
      <w:spacing w:after="120"/>
    </w:pPr>
    <w:rPr>
      <w:rFonts w:ascii="仿宋_GB2312"/>
      <w:bCs/>
      <w:sz w:val="30"/>
    </w:rPr>
  </w:style>
  <w:style w:type="paragraph" w:customStyle="1" w:styleId="94">
    <w:name w:val="表格中文字"/>
    <w:basedOn w:val="95"/>
    <w:qFormat/>
    <w:uiPriority w:val="0"/>
    <w:pPr>
      <w:spacing w:line="360" w:lineRule="exact"/>
    </w:pPr>
    <w:rPr>
      <w:szCs w:val="21"/>
    </w:rPr>
  </w:style>
  <w:style w:type="paragraph" w:customStyle="1" w:styleId="95">
    <w:name w:val="填表正文"/>
    <w:basedOn w:val="1"/>
    <w:qFormat/>
    <w:uiPriority w:val="0"/>
    <w:pPr>
      <w:adjustRightInd w:val="0"/>
      <w:snapToGrid w:val="0"/>
      <w:jc w:val="center"/>
    </w:pPr>
    <w:rPr>
      <w:rFonts w:ascii="宋体" w:hAnsi="Calibri"/>
      <w:color w:val="000000"/>
      <w:kern w:val="0"/>
      <w:szCs w:val="44"/>
    </w:rPr>
  </w:style>
  <w:style w:type="paragraph" w:customStyle="1" w:styleId="96">
    <w:name w:val="样式 黑体 居中 行距: 1.5 倍行距"/>
    <w:basedOn w:val="1"/>
    <w:qFormat/>
    <w:uiPriority w:val="0"/>
    <w:pPr>
      <w:ind w:firstLine="0" w:firstLineChars="0"/>
      <w:jc w:val="center"/>
    </w:pPr>
    <w:rPr>
      <w:rFonts w:ascii="黑体" w:hAnsi="黑体" w:eastAsia="黑体" w:cs="宋体"/>
      <w:kern w:val="0"/>
      <w:szCs w:val="20"/>
    </w:rPr>
  </w:style>
  <w:style w:type="paragraph" w:customStyle="1" w:styleId="97">
    <w:name w:val="表中文字（工大）"/>
    <w:basedOn w:val="1"/>
    <w:qFormat/>
    <w:uiPriority w:val="0"/>
    <w:pPr>
      <w:spacing w:line="400" w:lineRule="exact"/>
      <w:jc w:val="center"/>
    </w:pPr>
    <w:rPr>
      <w:szCs w:val="20"/>
    </w:rPr>
  </w:style>
  <w:style w:type="paragraph" w:customStyle="1" w:styleId="98">
    <w:name w:val="C【表头】"/>
    <w:basedOn w:val="1"/>
    <w:qFormat/>
    <w:uiPriority w:val="0"/>
    <w:pPr>
      <w:widowControl/>
      <w:adjustRightInd w:val="0"/>
      <w:snapToGrid w:val="0"/>
      <w:jc w:val="center"/>
    </w:pPr>
    <w:rPr>
      <w:rFonts w:eastAsia="黑体" w:cs="宋体"/>
      <w:kern w:val="0"/>
      <w:szCs w:val="20"/>
    </w:rPr>
  </w:style>
  <w:style w:type="paragraph" w:customStyle="1" w:styleId="99">
    <w:name w:val="正文缩进1"/>
    <w:basedOn w:val="1"/>
    <w:qFormat/>
    <w:uiPriority w:val="0"/>
    <w:pPr>
      <w:ind w:firstLine="420"/>
    </w:pPr>
    <w:rPr>
      <w:szCs w:val="20"/>
    </w:rPr>
  </w:style>
  <w:style w:type="paragraph" w:customStyle="1" w:styleId="100">
    <w:name w:val="表中字"/>
    <w:qFormat/>
    <w:uiPriority w:val="0"/>
    <w:pPr>
      <w:jc w:val="center"/>
    </w:pPr>
    <w:rPr>
      <w:rFonts w:ascii="Times New Roman" w:hAnsi="Times New Roman" w:eastAsia="宋体" w:cs="Times New Roman"/>
      <w:kern w:val="2"/>
      <w:sz w:val="21"/>
      <w:szCs w:val="22"/>
      <w:lang w:val="zh-CN" w:eastAsia="zh-CN" w:bidi="ar-SA"/>
    </w:rPr>
  </w:style>
  <w:style w:type="paragraph" w:customStyle="1" w:styleId="101">
    <w:name w:val="表格填充项"/>
    <w:basedOn w:val="1"/>
    <w:qFormat/>
    <w:uiPriority w:val="0"/>
    <w:pPr>
      <w:spacing w:line="240" w:lineRule="atLeast"/>
      <w:jc w:val="center"/>
    </w:pPr>
    <w:rPr>
      <w:rFonts w:ascii="宋体" w:hAnsi="宋体"/>
      <w:b/>
      <w:szCs w:val="24"/>
    </w:rPr>
  </w:style>
  <w:style w:type="paragraph" w:customStyle="1" w:styleId="102">
    <w:name w:val="【表中文字】-"/>
    <w:basedOn w:val="1"/>
    <w:qFormat/>
    <w:uiPriority w:val="0"/>
    <w:pPr>
      <w:adjustRightInd w:val="0"/>
      <w:snapToGrid w:val="0"/>
      <w:jc w:val="center"/>
    </w:pPr>
    <w:rPr>
      <w:kern w:val="0"/>
      <w:sz w:val="18"/>
    </w:rPr>
  </w:style>
  <w:style w:type="table" w:customStyle="1" w:styleId="103">
    <w:name w:val="网格型13"/>
    <w:basedOn w:val="30"/>
    <w:qFormat/>
    <w:uiPriority w:val="59"/>
    <w:pPr>
      <w:jc w:val="center"/>
    </w:pPr>
    <w:rPr>
      <w:rFonts w:ascii="Calibri" w:hAnsi="Calibri"/>
      <w:kern w:val="2"/>
      <w:sz w:val="21"/>
      <w:szCs w:val="22"/>
    </w:rPr>
    <w:tblPr>
      <w:tblBorders>
        <w:top w:val="single" w:color="auto" w:sz="12" w:space="0"/>
        <w:bottom w:val="single" w:color="auto" w:sz="12" w:space="0"/>
        <w:insideH w:val="single" w:color="auto" w:sz="4" w:space="0"/>
        <w:insideV w:val="single" w:color="auto" w:sz="4" w:space="0"/>
      </w:tblBorders>
      <w:tblLayout w:type="fixed"/>
    </w:tblPr>
    <w:tcPr>
      <w:vAlign w:val="center"/>
    </w:tcPr>
  </w:style>
  <w:style w:type="paragraph" w:customStyle="1" w:styleId="104">
    <w:name w:val="bgb表头"/>
    <w:basedOn w:val="1"/>
    <w:next w:val="1"/>
    <w:qFormat/>
    <w:uiPriority w:val="0"/>
    <w:pPr>
      <w:adjustRightInd w:val="0"/>
      <w:snapToGrid w:val="0"/>
      <w:spacing w:line="480" w:lineRule="exact"/>
      <w:contextualSpacing/>
      <w:jc w:val="center"/>
    </w:pPr>
    <w:rPr>
      <w:color w:val="000000"/>
      <w:kern w:val="0"/>
      <w:sz w:val="24"/>
      <w:szCs w:val="21"/>
    </w:rPr>
  </w:style>
  <w:style w:type="paragraph" w:customStyle="1" w:styleId="105">
    <w:name w:val="a正文"/>
    <w:basedOn w:val="61"/>
    <w:qFormat/>
    <w:uiPriority w:val="0"/>
    <w:pPr>
      <w:spacing w:line="520" w:lineRule="exact"/>
      <w:ind w:firstLine="200"/>
    </w:pPr>
    <w:rPr>
      <w:rFonts w:cs="Times New Roman"/>
    </w:rPr>
  </w:style>
  <w:style w:type="paragraph" w:customStyle="1" w:styleId="106">
    <w:name w:val="正文1"/>
    <w:basedOn w:val="107"/>
    <w:next w:val="1"/>
    <w:qFormat/>
    <w:uiPriority w:val="0"/>
    <w:pPr>
      <w:widowControl w:val="0"/>
      <w:tabs>
        <w:tab w:val="left" w:pos="567"/>
      </w:tabs>
      <w:adjustRightInd w:val="0"/>
      <w:spacing w:line="312" w:lineRule="atLeast"/>
      <w:jc w:val="both"/>
      <w:textAlignment w:val="baseline"/>
    </w:pPr>
    <w:rPr>
      <w:rFonts w:ascii="宋体" w:hAnsi="Calibri" w:eastAsia="宋体" w:cs="Times New Roman"/>
      <w:sz w:val="34"/>
      <w:lang w:val="en-US" w:eastAsia="zh-CN" w:bidi="ar-SA"/>
    </w:rPr>
  </w:style>
  <w:style w:type="paragraph" w:customStyle="1" w:styleId="107">
    <w:name w:val="正文11"/>
    <w:qFormat/>
    <w:uiPriority w:val="0"/>
    <w:pPr>
      <w:widowControl w:val="0"/>
      <w:tabs>
        <w:tab w:val="left" w:pos="567"/>
      </w:tabs>
      <w:adjustRightInd w:val="0"/>
      <w:spacing w:line="360" w:lineRule="atLeast"/>
      <w:ind w:left="567" w:hanging="567"/>
      <w:textAlignment w:val="baseline"/>
    </w:pPr>
    <w:rPr>
      <w:rFonts w:ascii="宋体" w:hAnsi="Times New Roman" w:eastAsia="宋体" w:cs="Times New Roman"/>
      <w:sz w:val="24"/>
      <w:lang w:val="en-US" w:eastAsia="zh-CN" w:bidi="ar-SA"/>
    </w:rPr>
  </w:style>
  <w:style w:type="paragraph" w:customStyle="1" w:styleId="108">
    <w:name w:val="表格2"/>
    <w:basedOn w:val="1"/>
    <w:next w:val="1"/>
    <w:qFormat/>
    <w:uiPriority w:val="0"/>
    <w:pPr>
      <w:spacing w:line="400" w:lineRule="atLeast"/>
      <w:jc w:val="center"/>
    </w:pPr>
    <w:rPr>
      <w:szCs w:val="20"/>
    </w:rPr>
  </w:style>
  <w:style w:type="paragraph" w:customStyle="1" w:styleId="109">
    <w:name w:val="C首行缩进正文"/>
    <w:basedOn w:val="48"/>
    <w:qFormat/>
    <w:uiPriority w:val="0"/>
    <w:pPr>
      <w:adjustRightInd/>
      <w:snapToGrid/>
    </w:pPr>
    <w:rPr>
      <w:rFonts w:cs="宋体"/>
      <w:color w:val="000000"/>
      <w:kern w:val="2"/>
      <w:sz w:val="21"/>
      <w:szCs w:val="24"/>
    </w:rPr>
  </w:style>
  <w:style w:type="table" w:customStyle="1" w:styleId="110">
    <w:name w:val="Table Normal1"/>
    <w:unhideWhenUsed/>
    <w:qFormat/>
    <w:uiPriority w:val="2"/>
    <w:pPr>
      <w:widowControl w:val="0"/>
    </w:pPr>
    <w:rPr>
      <w:rFonts w:eastAsia="宋体"/>
      <w:lang w:eastAsia="en-US"/>
    </w:rPr>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1" Type="http://schemas.openxmlformats.org/officeDocument/2006/relationships/fontTable" Target="fontTable.xml"/><Relationship Id="rId60" Type="http://schemas.openxmlformats.org/officeDocument/2006/relationships/numbering" Target="numbering.xml"/><Relationship Id="rId6" Type="http://schemas.openxmlformats.org/officeDocument/2006/relationships/footer" Target="footer4.xml"/><Relationship Id="rId59" Type="http://schemas.openxmlformats.org/officeDocument/2006/relationships/customXml" Target="../customXml/item1.xml"/><Relationship Id="rId58" Type="http://schemas.openxmlformats.org/officeDocument/2006/relationships/image" Target="media/image41.png"/><Relationship Id="rId57" Type="http://schemas.openxmlformats.org/officeDocument/2006/relationships/image" Target="media/image40.png"/><Relationship Id="rId56" Type="http://schemas.openxmlformats.org/officeDocument/2006/relationships/image" Target="media/image39.png"/><Relationship Id="rId55" Type="http://schemas.openxmlformats.org/officeDocument/2006/relationships/image" Target="media/image38.png"/><Relationship Id="rId54" Type="http://schemas.openxmlformats.org/officeDocument/2006/relationships/image" Target="media/image37.png"/><Relationship Id="rId53" Type="http://schemas.openxmlformats.org/officeDocument/2006/relationships/image" Target="media/image36.png"/><Relationship Id="rId52" Type="http://schemas.openxmlformats.org/officeDocument/2006/relationships/image" Target="media/image35.png"/><Relationship Id="rId51" Type="http://schemas.openxmlformats.org/officeDocument/2006/relationships/image" Target="media/image34.png"/><Relationship Id="rId50" Type="http://schemas.openxmlformats.org/officeDocument/2006/relationships/image" Target="media/image33.png"/><Relationship Id="rId5" Type="http://schemas.openxmlformats.org/officeDocument/2006/relationships/footer" Target="footer3.xml"/><Relationship Id="rId49" Type="http://schemas.openxmlformats.org/officeDocument/2006/relationships/image" Target="media/image32.png"/><Relationship Id="rId48" Type="http://schemas.openxmlformats.org/officeDocument/2006/relationships/image" Target="media/image31.png"/><Relationship Id="rId47" Type="http://schemas.openxmlformats.org/officeDocument/2006/relationships/image" Target="media/image30.png"/><Relationship Id="rId46" Type="http://schemas.openxmlformats.org/officeDocument/2006/relationships/image" Target="media/image29.png"/><Relationship Id="rId45" Type="http://schemas.openxmlformats.org/officeDocument/2006/relationships/image" Target="media/image28.png"/><Relationship Id="rId44" Type="http://schemas.openxmlformats.org/officeDocument/2006/relationships/image" Target="media/image27.png"/><Relationship Id="rId43" Type="http://schemas.openxmlformats.org/officeDocument/2006/relationships/image" Target="media/image26.png"/><Relationship Id="rId42" Type="http://schemas.openxmlformats.org/officeDocument/2006/relationships/image" Target="media/image25.png"/><Relationship Id="rId41" Type="http://schemas.openxmlformats.org/officeDocument/2006/relationships/image" Target="media/image24.png"/><Relationship Id="rId40" Type="http://schemas.openxmlformats.org/officeDocument/2006/relationships/image" Target="media/image23.png"/><Relationship Id="rId4" Type="http://schemas.openxmlformats.org/officeDocument/2006/relationships/footer" Target="footer2.xml"/><Relationship Id="rId39" Type="http://schemas.openxmlformats.org/officeDocument/2006/relationships/image" Target="media/image22.wmf"/><Relationship Id="rId38" Type="http://schemas.openxmlformats.org/officeDocument/2006/relationships/oleObject" Target="embeddings/oleObject9.bin"/><Relationship Id="rId37" Type="http://schemas.openxmlformats.org/officeDocument/2006/relationships/image" Target="media/image21.png"/><Relationship Id="rId36" Type="http://schemas.openxmlformats.org/officeDocument/2006/relationships/image" Target="media/image20.wmf"/><Relationship Id="rId35" Type="http://schemas.openxmlformats.org/officeDocument/2006/relationships/oleObject" Target="embeddings/oleObject8.bin"/><Relationship Id="rId34" Type="http://schemas.openxmlformats.org/officeDocument/2006/relationships/image" Target="media/image19.wmf"/><Relationship Id="rId33" Type="http://schemas.openxmlformats.org/officeDocument/2006/relationships/oleObject" Target="embeddings/oleObject7.bin"/><Relationship Id="rId32" Type="http://schemas.openxmlformats.org/officeDocument/2006/relationships/image" Target="media/image18.wmf"/><Relationship Id="rId31" Type="http://schemas.openxmlformats.org/officeDocument/2006/relationships/oleObject" Target="embeddings/oleObject6.bin"/><Relationship Id="rId30" Type="http://schemas.openxmlformats.org/officeDocument/2006/relationships/image" Target="media/image17.wmf"/><Relationship Id="rId3" Type="http://schemas.openxmlformats.org/officeDocument/2006/relationships/footer" Target="footer1.xml"/><Relationship Id="rId29" Type="http://schemas.openxmlformats.org/officeDocument/2006/relationships/oleObject" Target="embeddings/oleObject5.bin"/><Relationship Id="rId28" Type="http://schemas.openxmlformats.org/officeDocument/2006/relationships/image" Target="media/image16.wmf"/><Relationship Id="rId27" Type="http://schemas.openxmlformats.org/officeDocument/2006/relationships/oleObject" Target="embeddings/oleObject4.bin"/><Relationship Id="rId26" Type="http://schemas.openxmlformats.org/officeDocument/2006/relationships/image" Target="media/image15.wmf"/><Relationship Id="rId25" Type="http://schemas.openxmlformats.org/officeDocument/2006/relationships/oleObject" Target="embeddings/oleObject3.bin"/><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wmf"/><Relationship Id="rId13" Type="http://schemas.openxmlformats.org/officeDocument/2006/relationships/oleObject" Target="embeddings/oleObject2.bin"/><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68</Pages>
  <Words>10554</Words>
  <Characters>11502</Characters>
  <Lines>13</Lines>
  <Paragraphs>3</Paragraphs>
  <TotalTime>0</TotalTime>
  <ScaleCrop>false</ScaleCrop>
  <LinksUpToDate>false</LinksUpToDate>
  <CharactersWithSpaces>11599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 洋洋鱼 </cp:lastModifiedBy>
  <cp:lastPrinted>2020-12-29T02:43:00Z</cp:lastPrinted>
  <dcterms:modified xsi:type="dcterms:W3CDTF">2026-07-24T07:53:03Z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179920DE5C614D3E98B7FD16EBAFFEC7_13</vt:lpwstr>
  </property>
  <property fmtid="{D5CDD505-2E9C-101B-9397-08002B2CF9AE}" pid="4" name="KSOTemplateDocerSaveRecord">
    <vt:lpwstr>eyJoZGlkIjoiMWMxYjE0ODY0YzUzMzU2N2EyOTFkYjA4ZWVlNmY4NDEiLCJ1c2VySWQiOiI2NTgwMzMwNjkifQ==</vt:lpwstr>
  </property>
</Properties>
</file>